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96" w:rsidRPr="00E01870" w:rsidRDefault="00574384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574384">
        <w:rPr>
          <w:rFonts w:ascii="Arial" w:hAnsi="Arial" w:cs="Arial"/>
          <w:b w:val="0"/>
          <w:noProof/>
          <w:sz w:val="20"/>
        </w:rPr>
        <w:t>Załącznik nr 7.6</w:t>
      </w:r>
      <w:r>
        <w:rPr>
          <w:rFonts w:ascii="Arial" w:hAnsi="Arial" w:cs="Arial"/>
          <w:b w:val="0"/>
          <w:noProof/>
          <w:sz w:val="20"/>
        </w:rPr>
        <w:t>:</w:t>
      </w:r>
      <w:r>
        <w:rPr>
          <w:rFonts w:ascii="Arial" w:hAnsi="Arial" w:cs="Arial"/>
          <w:i/>
          <w:noProof/>
          <w:sz w:val="20"/>
        </w:rPr>
        <w:t xml:space="preserve"> </w:t>
      </w:r>
      <w:r w:rsidR="00E92D96"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="00E92D96"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 w:rsidR="00E92D96">
        <w:rPr>
          <w:rFonts w:ascii="Arial" w:hAnsi="Arial" w:cs="Arial"/>
          <w:b w:val="0"/>
          <w:i/>
          <w:noProof/>
          <w:sz w:val="20"/>
        </w:rPr>
        <w:t>porozumienia</w:t>
      </w:r>
      <w:r w:rsidR="00E92D96"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 w:rsidR="00E92D96">
        <w:rPr>
          <w:rFonts w:ascii="Arial" w:hAnsi="Arial" w:cs="Arial"/>
          <w:b w:val="0"/>
          <w:i/>
          <w:noProof/>
          <w:sz w:val="20"/>
        </w:rPr>
        <w:t xml:space="preserve"> - PJB</w:t>
      </w:r>
      <w:r w:rsidR="00E92D96"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="00E92D96"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zwaną/ym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minimis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(t.j. Dz. U z 2014 r. poz. 1146, z późn.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(t.j.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(t.j.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(t.j.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(t.j. Dz. U. z 2013 r. poz. 907, ze zm.) – zwana dalej Pzp;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(t.j.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późn.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„ustawie Pzp” oznacza to ustawę z dnia 29 stycznia 2004 r. – Prawo zamówień publicznych (Dz. U. z 2013 r. poz. 907, z późn.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(t.j.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W przypadku, gdy Beneficjent zaplanował w ramach projektu, wydatki w ramach cross-financingu,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związanych z wyborem wykonawców do realizacji zamówień o wartości równej lub wyższej niż próg określony w przepisach wydanych na podstawie art. 11 ust. 8 ustawy Pzp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Instytucja Pośrednicząca może wystąpić z wnioskiem do dysponenta odpowiedniej części budżetowej o zablokowanie dofinansowania dla Beneficjenta, zgodnie z art. 177 ustawy z dnia 27 sierpnia 2009 r. o finansach publicznych (Dz. U. z 2013 r. poz. 885, z późn.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informacji o zamówieniach publicznych o wartości równej lub wyższej niż próg określony w przepisach wydanych na podstawie art. 11 ust. 8 ustawy Pzp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ePUAP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ePUAP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minimis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>ustawą Pzp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późn.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cross-financingu;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minimis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zapoznałem/am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 sierpnia 1997 r. o ochronie danych osobowych (Dz. U. z 2014 r. poz. 1182 z późn.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Oświadczam, że zapoznałem/am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Zobowiązuję się do zachowania w tajemnicy przetwarzanych danych osobowych, z którymi zapoznałem/am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 sierpnia 1997 r. o ochronie danych osobowych (Dz. U. z 2014 r. poz. 1182, z późn.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>2004 r. - Prawo zamówień publicznych (Dz. U. z 2013 r. poz. 907, z późn.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09" w:rsidRDefault="00C56F09" w:rsidP="009D490C">
      <w:pPr>
        <w:spacing w:after="0" w:line="240" w:lineRule="auto"/>
      </w:pPr>
      <w:r>
        <w:separator/>
      </w:r>
    </w:p>
  </w:endnote>
  <w:endnote w:type="continuationSeparator" w:id="0">
    <w:p w:rsidR="00C56F09" w:rsidRDefault="00C56F09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2045F8" w:rsidRDefault="001A60BA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="00741451"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741416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032FB4" w:rsidRDefault="001A60BA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="00741451"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741416">
      <w:rPr>
        <w:rStyle w:val="Numerstrony"/>
        <w:noProof/>
        <w:sz w:val="20"/>
        <w:szCs w:val="20"/>
      </w:rPr>
      <w:t>40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09" w:rsidRDefault="00C56F09" w:rsidP="009D490C">
      <w:pPr>
        <w:spacing w:after="0" w:line="240" w:lineRule="auto"/>
      </w:pPr>
      <w:r>
        <w:separator/>
      </w:r>
    </w:p>
  </w:footnote>
  <w:footnote w:type="continuationSeparator" w:id="0">
    <w:p w:rsidR="00C56F09" w:rsidRDefault="00C56F09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Partnerem/ami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ePUAP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60BA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4384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16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68A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41662-AADC-4D9C-86D1-A3F4588D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45</Pages>
  <Words>13552</Words>
  <Characters>81313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94676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justyna.kuzdowicz</cp:lastModifiedBy>
  <cp:revision>13</cp:revision>
  <cp:lastPrinted>2015-09-30T11:20:00Z</cp:lastPrinted>
  <dcterms:created xsi:type="dcterms:W3CDTF">2015-09-30T03:26:00Z</dcterms:created>
  <dcterms:modified xsi:type="dcterms:W3CDTF">2016-02-17T09:18:00Z</dcterms:modified>
</cp:coreProperties>
</file>