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D1BB" w14:textId="77777777" w:rsidR="00B4363F" w:rsidRPr="00E8539F" w:rsidRDefault="00B4363F" w:rsidP="004726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b/>
        </w:rPr>
      </w:pPr>
      <w:r w:rsidRPr="00E8539F">
        <w:rPr>
          <w:rFonts w:cs="Arial"/>
          <w:b/>
        </w:rPr>
        <w:t>Czy uczniów zasadniczych szkół zawodowych – młodociany pracownik – traktuje się jako osobę dorosłą czy ucznia?</w:t>
      </w:r>
    </w:p>
    <w:p w14:paraId="428DA55C" w14:textId="77777777" w:rsidR="00B4363F" w:rsidRPr="00E8539F" w:rsidRDefault="00B4363F" w:rsidP="004726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b/>
        </w:rPr>
      </w:pPr>
      <w:r w:rsidRPr="00E8539F">
        <w:rPr>
          <w:rFonts w:cs="Arial"/>
          <w:b/>
        </w:rPr>
        <w:t>Jako uczniów muszą odbyć praktyki i wkład własny 5%. (praktyki/ staż mogą być problemem bo oni 3 dni w pracy 2 dni w szkole)</w:t>
      </w:r>
    </w:p>
    <w:p w14:paraId="4F0D9DA0" w14:textId="77777777" w:rsidR="00B4363F" w:rsidRPr="00E8539F" w:rsidRDefault="00B4363F" w:rsidP="004726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b/>
        </w:rPr>
      </w:pPr>
      <w:r w:rsidRPr="00E8539F">
        <w:rPr>
          <w:rFonts w:cs="Arial"/>
          <w:b/>
        </w:rPr>
        <w:t>Jako osoby dorosłe, nie ma obowiązku praktyk wkład 10%</w:t>
      </w:r>
    </w:p>
    <w:p w14:paraId="5864EFD8" w14:textId="77777777" w:rsidR="00B4363F" w:rsidRPr="00E8539F" w:rsidRDefault="00B4363F" w:rsidP="004726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b/>
        </w:rPr>
      </w:pPr>
      <w:r w:rsidRPr="00E8539F">
        <w:rPr>
          <w:rFonts w:cs="Arial"/>
          <w:b/>
        </w:rPr>
        <w:t>Jako uczniów, ale nie musza realizować obligatoryjnych praktyk (nie mają wakacji, zatrudnieni na umowy) i wkład wynosi 5%</w:t>
      </w:r>
    </w:p>
    <w:p w14:paraId="335220D0" w14:textId="77777777" w:rsidR="00B4363F" w:rsidRPr="008735AE" w:rsidRDefault="00B4363F" w:rsidP="00472658">
      <w:pPr>
        <w:spacing w:after="0" w:line="360" w:lineRule="auto"/>
        <w:ind w:left="-284"/>
        <w:jc w:val="both"/>
        <w:outlineLvl w:val="0"/>
        <w:rPr>
          <w:rFonts w:eastAsia="Times New Roman" w:cs="Arial"/>
          <w:b/>
          <w:bCs/>
          <w:kern w:val="36"/>
          <w:lang w:eastAsia="pl-PL"/>
        </w:rPr>
      </w:pPr>
      <w:r w:rsidRPr="008735AE">
        <w:rPr>
          <w:rFonts w:eastAsia="Times New Roman" w:cs="Arial"/>
          <w:b/>
          <w:bCs/>
          <w:kern w:val="36"/>
          <w:lang w:eastAsia="pl-PL"/>
        </w:rPr>
        <w:t> </w:t>
      </w:r>
    </w:p>
    <w:p w14:paraId="70C1A240" w14:textId="77777777" w:rsidR="00B4363F" w:rsidRPr="008735AE" w:rsidRDefault="00B4363F" w:rsidP="00472658">
      <w:pPr>
        <w:spacing w:after="0" w:line="360" w:lineRule="auto"/>
        <w:ind w:left="-284"/>
        <w:jc w:val="both"/>
        <w:outlineLvl w:val="0"/>
        <w:rPr>
          <w:rFonts w:eastAsia="Times New Roman" w:cs="Arial"/>
          <w:b/>
          <w:bCs/>
          <w:kern w:val="36"/>
          <w:lang w:eastAsia="pl-PL"/>
        </w:rPr>
      </w:pPr>
      <w:r w:rsidRPr="008735AE">
        <w:rPr>
          <w:rFonts w:eastAsia="Times New Roman" w:cs="Arial"/>
          <w:b/>
          <w:bCs/>
          <w:kern w:val="36"/>
          <w:lang w:eastAsia="pl-PL"/>
        </w:rPr>
        <w:t xml:space="preserve">AD.1  </w:t>
      </w:r>
      <w:r w:rsidRPr="00B4363F">
        <w:rPr>
          <w:rFonts w:eastAsia="Times New Roman" w:cs="Arial"/>
          <w:b/>
          <w:bCs/>
          <w:kern w:val="36"/>
          <w:lang w:eastAsia="pl-PL"/>
        </w:rPr>
        <w:t>POJĘCIE PRACOWNIKA MŁODOCIANEGO</w:t>
      </w:r>
    </w:p>
    <w:p w14:paraId="4F7A7785" w14:textId="77777777" w:rsidR="00B4363F" w:rsidRPr="00B4363F" w:rsidRDefault="00B4363F" w:rsidP="00472658">
      <w:pPr>
        <w:spacing w:after="0" w:line="360" w:lineRule="auto"/>
        <w:ind w:left="-284"/>
        <w:jc w:val="both"/>
        <w:outlineLvl w:val="0"/>
        <w:rPr>
          <w:rFonts w:eastAsia="Times New Roman" w:cs="Arial"/>
          <w:b/>
          <w:bCs/>
          <w:kern w:val="36"/>
          <w:lang w:eastAsia="pl-PL"/>
        </w:rPr>
      </w:pPr>
      <w:r w:rsidRPr="00B4363F">
        <w:rPr>
          <w:rFonts w:eastAsia="Times New Roman" w:cs="Arial"/>
          <w:lang w:eastAsia="pl-PL"/>
        </w:rPr>
        <w:t xml:space="preserve">Młodociany to osoba, </w:t>
      </w:r>
      <w:r w:rsidRPr="00CE073C">
        <w:rPr>
          <w:rFonts w:eastAsia="Times New Roman" w:cs="Arial"/>
          <w:lang w:eastAsia="pl-PL"/>
        </w:rPr>
        <w:t>która ukończyła lat 1</w:t>
      </w:r>
      <w:r w:rsidR="00562B71" w:rsidRPr="00CE073C">
        <w:rPr>
          <w:rFonts w:eastAsia="Times New Roman" w:cs="Arial"/>
          <w:lang w:eastAsia="pl-PL"/>
        </w:rPr>
        <w:t>6</w:t>
      </w:r>
      <w:r w:rsidRPr="00CE073C">
        <w:rPr>
          <w:rFonts w:eastAsia="Times New Roman" w:cs="Arial"/>
          <w:lang w:eastAsia="pl-PL"/>
        </w:rPr>
        <w:t xml:space="preserve"> a nie ukończyła 18  (art. 190 § 1 k. p.). Zatrudnienie tych pracowników odbywa się na warunkach określonych w dziale IX k.p. (art</w:t>
      </w:r>
      <w:r w:rsidRPr="00B4363F">
        <w:rPr>
          <w:rFonts w:eastAsia="Times New Roman" w:cs="Arial"/>
          <w:lang w:eastAsia="pl-PL"/>
        </w:rPr>
        <w:t>. 190-206). Podstawowym celem zatrudnienia młodocianych jest przygotowanie zawodowe, które może być, zgodnie z</w:t>
      </w:r>
      <w:r w:rsidR="00CD02B7">
        <w:rPr>
          <w:rFonts w:eastAsia="Times New Roman" w:cs="Arial"/>
          <w:lang w:eastAsia="pl-PL"/>
        </w:rPr>
        <w:t> </w:t>
      </w:r>
      <w:r w:rsidRPr="00B4363F">
        <w:rPr>
          <w:rFonts w:eastAsia="Times New Roman" w:cs="Arial"/>
          <w:lang w:eastAsia="pl-PL"/>
        </w:rPr>
        <w:t>rozporządzeniem Rady Ministrów, realizowane w dwóch formach:</w:t>
      </w:r>
    </w:p>
    <w:p w14:paraId="28481657" w14:textId="77777777" w:rsidR="00B4363F" w:rsidRPr="008735AE" w:rsidRDefault="00B4363F" w:rsidP="004726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eastAsia="pl-PL"/>
        </w:rPr>
      </w:pPr>
      <w:r w:rsidRPr="008735AE">
        <w:rPr>
          <w:rFonts w:eastAsia="Times New Roman" w:cs="Arial"/>
          <w:lang w:eastAsia="pl-PL"/>
        </w:rPr>
        <w:t>nauki zawodu, która ma przygotować młodocianego do pracy w charakterze robotnika wykwalifikowanego lub czeladnika i obejmuje praktyczną naukę zawodu organizowaną u</w:t>
      </w:r>
      <w:r w:rsidR="00CD02B7">
        <w:rPr>
          <w:rFonts w:eastAsia="Times New Roman" w:cs="Arial"/>
          <w:lang w:eastAsia="pl-PL"/>
        </w:rPr>
        <w:t> </w:t>
      </w:r>
      <w:r w:rsidRPr="008735AE">
        <w:rPr>
          <w:rFonts w:eastAsia="Times New Roman" w:cs="Arial"/>
          <w:lang w:eastAsia="pl-PL"/>
        </w:rPr>
        <w:t>pracodawcy oraz dokształcanie teoretyczne;</w:t>
      </w:r>
    </w:p>
    <w:p w14:paraId="708DC618" w14:textId="77777777" w:rsidR="00B4363F" w:rsidRPr="008735AE" w:rsidRDefault="00B4363F" w:rsidP="004726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eastAsia="pl-PL"/>
        </w:rPr>
      </w:pPr>
      <w:r w:rsidRPr="008735AE">
        <w:rPr>
          <w:rFonts w:eastAsia="Times New Roman" w:cs="Arial"/>
          <w:lang w:eastAsia="pl-PL"/>
        </w:rPr>
        <w:t xml:space="preserve">przyuczenia do wykonywania określonych prac, które trwa zazwyczaj od 3 do 6 </w:t>
      </w:r>
      <w:r w:rsidRPr="008735AE">
        <w:rPr>
          <w:rFonts w:eastAsia="Times New Roman" w:cs="Arial"/>
          <w:lang w:eastAsia="pl-PL"/>
        </w:rPr>
        <w:br/>
        <w:t>m-cy i ma na celu, zgodnie z § 1 ust 3 rozporządzenia przygotowanie młodo</w:t>
      </w:r>
      <w:bookmarkStart w:id="0" w:name="_GoBack"/>
      <w:bookmarkEnd w:id="0"/>
      <w:r w:rsidRPr="008735AE">
        <w:rPr>
          <w:rFonts w:eastAsia="Times New Roman" w:cs="Arial"/>
          <w:lang w:eastAsia="pl-PL"/>
        </w:rPr>
        <w:t>cianego do pracy w charakterze robotnika przyuczonego i może dotyczyć prac, których rodzaj nie wymaga odbycia nauki zawodu</w:t>
      </w:r>
      <w:r w:rsidR="00A15F9C">
        <w:rPr>
          <w:rFonts w:eastAsia="Times New Roman" w:cs="Arial"/>
          <w:lang w:eastAsia="pl-PL"/>
        </w:rPr>
        <w:t>.</w:t>
      </w:r>
    </w:p>
    <w:p w14:paraId="2854BF5E" w14:textId="7CE44066" w:rsidR="00B4363F" w:rsidRPr="00CE073C" w:rsidRDefault="00B4363F" w:rsidP="00472658">
      <w:pPr>
        <w:spacing w:after="0" w:line="360" w:lineRule="auto"/>
        <w:ind w:left="-284"/>
        <w:jc w:val="both"/>
        <w:rPr>
          <w:rFonts w:eastAsia="Times New Roman" w:cs="Arial"/>
          <w:lang w:eastAsia="pl-PL"/>
        </w:rPr>
      </w:pPr>
      <w:r w:rsidRPr="008735AE">
        <w:rPr>
          <w:rFonts w:eastAsia="Times New Roman" w:cs="Arial"/>
          <w:lang w:eastAsia="pl-PL"/>
        </w:rPr>
        <w:t>Reasumując młodociany pracownik nie może być traktowany jako osoba dorosła, jednakże nie każdy uczeń ZSZ jest młodocianym pracownikiem, ponieważ wymaga to zawarcia stosunku pracy w rozumieniu KP oraz pobierania wynagrodzenia</w:t>
      </w:r>
      <w:r w:rsidRPr="00CE073C">
        <w:rPr>
          <w:rFonts w:eastAsia="Times New Roman" w:cs="Arial"/>
          <w:lang w:eastAsia="pl-PL"/>
        </w:rPr>
        <w:t>. Osoba nie zatrudniona na podstawie stosunku pracy u Pracodawcy nie jest pracownikiem młodocianym.</w:t>
      </w:r>
    </w:p>
    <w:p w14:paraId="2C1192FA" w14:textId="58E7469E" w:rsidR="00562B71" w:rsidRPr="00562B71" w:rsidRDefault="00B4363F" w:rsidP="00562B71">
      <w:pPr>
        <w:spacing w:after="0" w:line="360" w:lineRule="auto"/>
        <w:ind w:left="-284"/>
        <w:jc w:val="both"/>
        <w:rPr>
          <w:rFonts w:eastAsia="Times New Roman" w:cs="Arial"/>
          <w:lang w:eastAsia="pl-PL"/>
        </w:rPr>
      </w:pPr>
      <w:r w:rsidRPr="00CE073C">
        <w:rPr>
          <w:rFonts w:eastAsia="Times New Roman" w:cs="Arial"/>
          <w:lang w:eastAsia="pl-PL"/>
        </w:rPr>
        <w:t>Uczniów ZSZ należy zatem traktować zgodnie</w:t>
      </w:r>
      <w:r w:rsidRPr="008735AE">
        <w:rPr>
          <w:rFonts w:eastAsia="Times New Roman" w:cs="Arial"/>
          <w:lang w:eastAsia="pl-PL"/>
        </w:rPr>
        <w:t xml:space="preserve"> z definicją ucznia danej placówki. W zależności od rodzaju szkoły- ZSZ odbywają oni wówczas praktyki zawodowe. </w:t>
      </w:r>
      <w:r w:rsidR="00562B71">
        <w:rPr>
          <w:rFonts w:eastAsia="Times New Roman" w:cs="Arial"/>
          <w:lang w:eastAsia="pl-PL"/>
        </w:rPr>
        <w:t>Młodocianych pracowników nie będzie dotyczył obowiązek odbywania praktyk</w:t>
      </w:r>
      <w:r w:rsidR="0007622D">
        <w:rPr>
          <w:rFonts w:eastAsia="Times New Roman" w:cs="Arial"/>
          <w:lang w:eastAsia="pl-PL"/>
        </w:rPr>
        <w:t xml:space="preserve"> w projekcie</w:t>
      </w:r>
      <w:r w:rsidR="00562B71">
        <w:rPr>
          <w:rFonts w:eastAsia="Times New Roman" w:cs="Arial"/>
          <w:lang w:eastAsia="pl-PL"/>
        </w:rPr>
        <w:t>, a wsparcie realizowane dla nich zawierać się będzie w typie 1</w:t>
      </w:r>
      <w:r w:rsidR="0007622D">
        <w:rPr>
          <w:rFonts w:eastAsia="Times New Roman" w:cs="Arial"/>
          <w:lang w:eastAsia="pl-PL"/>
        </w:rPr>
        <w:t>.</w:t>
      </w:r>
      <w:r w:rsidR="00562B71">
        <w:rPr>
          <w:rFonts w:eastAsia="Times New Roman" w:cs="Arial"/>
          <w:lang w:eastAsia="pl-PL"/>
        </w:rPr>
        <w:t xml:space="preserve"> Należy wówczas wnieść wymagany wkład własny w wysokości 10 %.</w:t>
      </w:r>
    </w:p>
    <w:p w14:paraId="39404EE5" w14:textId="77777777" w:rsidR="00BA0ED6" w:rsidRPr="00E8539F" w:rsidRDefault="00BA0ED6" w:rsidP="00472658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cs="Arial"/>
          <w:b/>
        </w:rPr>
      </w:pPr>
      <w:r w:rsidRPr="00E8539F">
        <w:rPr>
          <w:rFonts w:cs="Arial"/>
          <w:b/>
        </w:rPr>
        <w:t>Czy zajęcia dla uczniów realizowane w ramach projektu należy traktować jako formę szkolną czy pozaszkolną?</w:t>
      </w:r>
    </w:p>
    <w:p w14:paraId="731F8B5E" w14:textId="77777777" w:rsidR="00BA0ED6" w:rsidRPr="008735AE" w:rsidRDefault="00BA0ED6" w:rsidP="0047265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t>projekt i działania skierowane do uczniów ze szkoły zawodowej, zajęcia organizowane i</w:t>
      </w:r>
      <w:r w:rsidR="00CD02B7">
        <w:rPr>
          <w:rFonts w:cs="Arial"/>
        </w:rPr>
        <w:t> </w:t>
      </w:r>
      <w:r w:rsidRPr="008735AE">
        <w:rPr>
          <w:rFonts w:cs="Arial"/>
        </w:rPr>
        <w:t>finansowane w ramach projektu 8.6 traktowane są jako forma pozaszkolna kształcenia – do tego typu zajęć gdzie BO jest uczniem 5% wkład?</w:t>
      </w:r>
    </w:p>
    <w:p w14:paraId="1C328FBC" w14:textId="77777777" w:rsidR="00BA0ED6" w:rsidRPr="008735AE" w:rsidRDefault="00BA0ED6" w:rsidP="0047265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lastRenderedPageBreak/>
        <w:t xml:space="preserve">Zgodnie z Rozporządzeniem w sprawie </w:t>
      </w:r>
      <w:r w:rsidRPr="008735AE">
        <w:rPr>
          <w:rFonts w:eastAsia="Times New Roman" w:cs="Arial"/>
          <w:lang w:eastAsia="pl-PL"/>
        </w:rPr>
        <w:t>kształcenia ustawicznego w formach pozaszkolnych</w:t>
      </w:r>
      <w:r w:rsidRPr="008735AE">
        <w:rPr>
          <w:rFonts w:cs="Arial"/>
        </w:rPr>
        <w:t xml:space="preserve"> – kształcenie może odbywać się w formach szkolnych i pozaszkolnych.</w:t>
      </w:r>
    </w:p>
    <w:p w14:paraId="5AC0D911" w14:textId="77777777" w:rsidR="00BA0ED6" w:rsidRPr="008735AE" w:rsidRDefault="00BA0ED6" w:rsidP="00472658">
      <w:pPr>
        <w:pStyle w:val="Akapitzlist"/>
        <w:spacing w:after="0" w:line="360" w:lineRule="auto"/>
        <w:ind w:left="1080"/>
        <w:jc w:val="both"/>
        <w:rPr>
          <w:rFonts w:cs="Arial"/>
        </w:rPr>
      </w:pPr>
      <w:r w:rsidRPr="008735AE">
        <w:rPr>
          <w:rFonts w:cs="Arial"/>
        </w:rPr>
        <w:t>Wskaźnik rezultatu WLWK nr 1  oraz produktu nr 1 odnoszą się tylko do osób dorosłych – czy uczniów podnoszących kwalifikacje nie powinno się obejmować tym wskaźnikiem?</w:t>
      </w:r>
    </w:p>
    <w:p w14:paraId="33543CBD" w14:textId="77777777" w:rsidR="00BA0ED6" w:rsidRPr="008735AE" w:rsidRDefault="00BA0ED6" w:rsidP="00472658">
      <w:pPr>
        <w:spacing w:after="0" w:line="360" w:lineRule="auto"/>
        <w:jc w:val="both"/>
        <w:rPr>
          <w:rFonts w:cs="Arial"/>
          <w:b/>
        </w:rPr>
      </w:pPr>
      <w:r w:rsidRPr="008735AE">
        <w:rPr>
          <w:rFonts w:cs="Arial"/>
          <w:b/>
        </w:rPr>
        <w:t>Ad.</w:t>
      </w:r>
      <w:r w:rsidR="00562B71">
        <w:rPr>
          <w:rFonts w:cs="Arial"/>
          <w:b/>
        </w:rPr>
        <w:t xml:space="preserve"> 2</w:t>
      </w:r>
    </w:p>
    <w:p w14:paraId="41AAF727" w14:textId="49507D11" w:rsidR="00562B71" w:rsidRPr="00A536CE" w:rsidRDefault="00A536CE" w:rsidP="00562B7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36CE">
        <w:rPr>
          <w:rFonts w:asciiTheme="minorHAnsi" w:hAnsiTheme="minorHAnsi" w:cs="Arial"/>
          <w:sz w:val="22"/>
          <w:szCs w:val="22"/>
        </w:rPr>
        <w:t xml:space="preserve">Zgodnie z definicją zawartą w Ustawie o systemie oświaty </w:t>
      </w:r>
      <w:r w:rsidRPr="00A536CE">
        <w:rPr>
          <w:rFonts w:asciiTheme="minorHAnsi" w:hAnsiTheme="minorHAnsi"/>
          <w:sz w:val="22"/>
          <w:szCs w:val="22"/>
        </w:rPr>
        <w:t xml:space="preserve">art. 3 ust. 17 oraz art. 2 ust. 3a </w:t>
      </w:r>
      <w:r w:rsidRPr="00A536CE">
        <w:rPr>
          <w:rFonts w:asciiTheme="minorHAnsi" w:hAnsiTheme="minorHAnsi"/>
          <w:sz w:val="22"/>
          <w:szCs w:val="22"/>
        </w:rPr>
        <w:t xml:space="preserve">jako formy pozaszkolne należy rozumieć </w:t>
      </w:r>
      <w:r w:rsidRPr="00A536CE">
        <w:rPr>
          <w:rFonts w:asciiTheme="minorHAnsi" w:hAnsiTheme="minorHAnsi"/>
          <w:sz w:val="22"/>
          <w:szCs w:val="22"/>
        </w:rPr>
        <w:t xml:space="preserve">formy uzyskiwania i uzupełniania wiedzy, umiejętności i kwalifikacji zawodowych w placówkach i ośrodkach, o których mowa w </w:t>
      </w:r>
      <w:hyperlink r:id="rId6" w:anchor="P1A5" w:tgtFrame="ostatnia" w:history="1">
        <w:r w:rsidRPr="00A536CE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art. 2</w:t>
        </w:r>
      </w:hyperlink>
      <w:r w:rsidRPr="00A536CE">
        <w:rPr>
          <w:rFonts w:asciiTheme="minorHAnsi" w:hAnsiTheme="minorHAnsi"/>
          <w:sz w:val="22"/>
          <w:szCs w:val="22"/>
        </w:rPr>
        <w:t xml:space="preserve"> pkt 3a, a takż</w:t>
      </w:r>
      <w:r>
        <w:rPr>
          <w:rFonts w:asciiTheme="minorHAnsi" w:hAnsiTheme="minorHAnsi"/>
          <w:sz w:val="22"/>
          <w:szCs w:val="22"/>
        </w:rPr>
        <w:t>e kwalifikacyjne kursy zawodowe.</w:t>
      </w:r>
      <w:r w:rsidRPr="00A536CE">
        <w:rPr>
          <w:rFonts w:asciiTheme="minorHAnsi" w:hAnsiTheme="minorHAnsi" w:cs="Arial"/>
          <w:sz w:val="22"/>
          <w:szCs w:val="22"/>
        </w:rPr>
        <w:t xml:space="preserve"> </w:t>
      </w:r>
      <w:r w:rsidR="00562B71" w:rsidRPr="00A536CE">
        <w:rPr>
          <w:rFonts w:asciiTheme="minorHAnsi" w:hAnsiTheme="minorHAnsi" w:cs="Arial"/>
          <w:sz w:val="22"/>
          <w:szCs w:val="22"/>
        </w:rPr>
        <w:t>W</w:t>
      </w:r>
      <w:r w:rsidR="00A46370" w:rsidRPr="00A536CE">
        <w:rPr>
          <w:rFonts w:asciiTheme="minorHAnsi" w:hAnsiTheme="minorHAnsi" w:cs="Arial"/>
          <w:sz w:val="22"/>
          <w:szCs w:val="22"/>
        </w:rPr>
        <w:t>szystkie</w:t>
      </w:r>
      <w:r w:rsidR="00BA0ED6" w:rsidRPr="00A536CE">
        <w:rPr>
          <w:rFonts w:asciiTheme="minorHAnsi" w:hAnsiTheme="minorHAnsi" w:cs="Arial"/>
          <w:sz w:val="22"/>
          <w:szCs w:val="22"/>
        </w:rPr>
        <w:t xml:space="preserve"> kursy </w:t>
      </w:r>
      <w:r w:rsidR="00A46370" w:rsidRPr="00A536CE">
        <w:rPr>
          <w:rFonts w:asciiTheme="minorHAnsi" w:hAnsiTheme="minorHAnsi" w:cs="Arial"/>
          <w:sz w:val="22"/>
          <w:szCs w:val="22"/>
        </w:rPr>
        <w:t>realizowane</w:t>
      </w:r>
      <w:r w:rsidR="00BA0ED6" w:rsidRPr="00A536CE">
        <w:rPr>
          <w:rFonts w:asciiTheme="minorHAnsi" w:hAnsiTheme="minorHAnsi" w:cs="Arial"/>
          <w:sz w:val="22"/>
          <w:szCs w:val="22"/>
        </w:rPr>
        <w:t xml:space="preserve"> w ramach zadań zlecanych, zewnętrznych itp. np. kurs baristy, spawacza itp., </w:t>
      </w:r>
      <w:r w:rsidR="001F4FB5" w:rsidRPr="00A536CE">
        <w:rPr>
          <w:rFonts w:asciiTheme="minorHAnsi" w:hAnsiTheme="minorHAnsi" w:cs="Arial"/>
          <w:sz w:val="22"/>
          <w:szCs w:val="22"/>
        </w:rPr>
        <w:t xml:space="preserve">traktowane </w:t>
      </w:r>
      <w:r w:rsidR="00BA0ED6" w:rsidRPr="00A536CE">
        <w:rPr>
          <w:rFonts w:asciiTheme="minorHAnsi" w:hAnsiTheme="minorHAnsi" w:cs="Arial"/>
          <w:sz w:val="22"/>
          <w:szCs w:val="22"/>
        </w:rPr>
        <w:t>s</w:t>
      </w:r>
      <w:r w:rsidR="00562B71" w:rsidRPr="00A536CE">
        <w:rPr>
          <w:rFonts w:asciiTheme="minorHAnsi" w:hAnsiTheme="minorHAnsi" w:cs="Arial"/>
          <w:sz w:val="22"/>
          <w:szCs w:val="22"/>
        </w:rPr>
        <w:t>ą</w:t>
      </w:r>
      <w:r w:rsidR="001F4FB5" w:rsidRPr="00A536CE">
        <w:rPr>
          <w:rFonts w:asciiTheme="minorHAnsi" w:hAnsiTheme="minorHAnsi" w:cs="Arial"/>
          <w:sz w:val="22"/>
          <w:szCs w:val="22"/>
        </w:rPr>
        <w:t xml:space="preserve"> jako forma pozaszkolna kształcenia</w:t>
      </w:r>
      <w:r w:rsidR="00562B71" w:rsidRPr="00A536CE">
        <w:rPr>
          <w:rFonts w:asciiTheme="minorHAnsi" w:hAnsiTheme="minorHAnsi" w:cs="Arial"/>
          <w:sz w:val="22"/>
          <w:szCs w:val="22"/>
        </w:rPr>
        <w:t xml:space="preserve"> dla uczniów i</w:t>
      </w:r>
      <w:r w:rsidR="00BA0ED6" w:rsidRPr="00A536CE">
        <w:rPr>
          <w:rFonts w:asciiTheme="minorHAnsi" w:hAnsiTheme="minorHAnsi" w:cs="Arial"/>
          <w:sz w:val="22"/>
          <w:szCs w:val="22"/>
        </w:rPr>
        <w:t xml:space="preserve"> </w:t>
      </w:r>
      <w:r w:rsidR="00A46370" w:rsidRPr="00A536CE">
        <w:rPr>
          <w:rFonts w:asciiTheme="minorHAnsi" w:hAnsiTheme="minorHAnsi" w:cs="Arial"/>
          <w:sz w:val="22"/>
          <w:szCs w:val="22"/>
        </w:rPr>
        <w:t>należy</w:t>
      </w:r>
      <w:r w:rsidR="00BA0ED6" w:rsidRPr="00A536CE">
        <w:rPr>
          <w:rFonts w:asciiTheme="minorHAnsi" w:hAnsiTheme="minorHAnsi" w:cs="Arial"/>
          <w:sz w:val="22"/>
          <w:szCs w:val="22"/>
        </w:rPr>
        <w:t xml:space="preserve"> od nich wyliczyć odpowiednio 10% wkład własny. </w:t>
      </w:r>
      <w:r w:rsidR="00562B71" w:rsidRPr="00A536CE">
        <w:rPr>
          <w:rFonts w:asciiTheme="minorHAnsi" w:hAnsiTheme="minorHAnsi" w:cs="Arial"/>
          <w:sz w:val="22"/>
          <w:szCs w:val="22"/>
        </w:rPr>
        <w:t xml:space="preserve"> </w:t>
      </w:r>
    </w:p>
    <w:p w14:paraId="56D85A80" w14:textId="77777777" w:rsidR="00562B71" w:rsidRDefault="00562B71" w:rsidP="00562B7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Zajęcia realizowane z wykorzystaniem infrastruktury placówki/szkoły, należy traktować jako zajęcia w formach szkolnych i wyliczyć odpowiednio 5</w:t>
      </w:r>
      <w:r w:rsidRPr="008735AE">
        <w:rPr>
          <w:rFonts w:asciiTheme="minorHAnsi" w:hAnsiTheme="minorHAnsi" w:cs="Arial"/>
          <w:sz w:val="22"/>
          <w:szCs w:val="22"/>
        </w:rPr>
        <w:t xml:space="preserve">% wkład własny. </w:t>
      </w:r>
      <w:r>
        <w:rPr>
          <w:rFonts w:asciiTheme="minorHAnsi" w:hAnsiTheme="minorHAnsi" w:cs="Arial"/>
          <w:sz w:val="22"/>
          <w:szCs w:val="22"/>
        </w:rPr>
        <w:t>W przypadku realizacji kursów z wykorzystaniem infrastruktury placówki/szkoły oraz zlecaniu egzaminów podmiotom zewnętrznym, również należy traktować je jako zajęcia objęte 5 % wkładem własnym.</w:t>
      </w:r>
    </w:p>
    <w:p w14:paraId="4514B758" w14:textId="77777777" w:rsidR="00A46370" w:rsidRPr="008735AE" w:rsidRDefault="00A46370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8735AE">
        <w:rPr>
          <w:rFonts w:cs="Arial"/>
          <w:b/>
        </w:rPr>
        <w:t xml:space="preserve">Ad. </w:t>
      </w:r>
      <w:r w:rsidR="00562B71">
        <w:rPr>
          <w:rFonts w:cs="Arial"/>
          <w:b/>
        </w:rPr>
        <w:t xml:space="preserve"> 2. </w:t>
      </w:r>
      <w:r w:rsidRPr="008735AE">
        <w:rPr>
          <w:rFonts w:cs="Arial"/>
          <w:b/>
        </w:rPr>
        <w:t>B wskaźnik</w:t>
      </w:r>
    </w:p>
    <w:p w14:paraId="46CA7273" w14:textId="77777777" w:rsidR="00086FE6" w:rsidRPr="008735AE" w:rsidRDefault="00086FE6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t>We wniosku należy wybrać wskaźnik dobrany z listy wskaźników specyficznych, lub zaproponować własny wskaźnik, zgłaszając jego opis, jednostkę pomiaru i treść za pomocą poczty elektronicznej.</w:t>
      </w:r>
      <w:r w:rsidR="00FC2BC8">
        <w:rPr>
          <w:rFonts w:cs="Arial"/>
        </w:rPr>
        <w:t xml:space="preserve"> Wybierając wskaźnik dla uczniów, należy wybrać wskaźnik produktu nr 3 dotyczący staży/praktyk czyli obligatoryjnej formy wsparcia.</w:t>
      </w:r>
    </w:p>
    <w:p w14:paraId="5F958A8E" w14:textId="77777777" w:rsidR="00086FE6" w:rsidRPr="008735AE" w:rsidRDefault="00086FE6" w:rsidP="004726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b/>
        </w:rPr>
      </w:pPr>
      <w:r w:rsidRPr="008735AE">
        <w:rPr>
          <w:rFonts w:cs="Arial"/>
          <w:b/>
        </w:rPr>
        <w:t>Definicja POZASZKOLNYCH FORM – czy to forma tylko i wyłącznie dla dorosłych? Czy udział uczniów jeżeli działania są poza siatką godzin można uznać za formę pozaszkolną?</w:t>
      </w:r>
    </w:p>
    <w:p w14:paraId="06F14F31" w14:textId="77777777" w:rsidR="00086FE6" w:rsidRDefault="00086FE6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 w:rsidRPr="008735AE">
        <w:rPr>
          <w:rFonts w:cs="Arial"/>
          <w:bCs/>
        </w:rPr>
        <w:t>Odpowi</w:t>
      </w:r>
      <w:r w:rsidR="00FC2BC8">
        <w:rPr>
          <w:rFonts w:cs="Arial"/>
          <w:bCs/>
        </w:rPr>
        <w:t>edź została udzielona w pyt. 2.</w:t>
      </w:r>
    </w:p>
    <w:p w14:paraId="7277C9F6" w14:textId="77777777" w:rsidR="00086FE6" w:rsidRPr="008735AE" w:rsidRDefault="00086FE6" w:rsidP="004726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Arial"/>
          <w:b/>
        </w:rPr>
      </w:pPr>
      <w:r w:rsidRPr="008735AE">
        <w:rPr>
          <w:rFonts w:cs="Arial"/>
          <w:b/>
        </w:rPr>
        <w:t>Wprowadzenie wskaźnika: liczba uczniów, którzy uczestniczyli w doradztwie edukacyjno-zawodowym? 100% uczniów</w:t>
      </w:r>
    </w:p>
    <w:p w14:paraId="788BE749" w14:textId="414E7DAC" w:rsidR="00086FE6" w:rsidRPr="008735AE" w:rsidRDefault="00E45964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  <w:bCs/>
        </w:rPr>
        <w:t xml:space="preserve">W załączniku 7.11 do dokumentacji konkursowej, wskazany został wskaźnik nr 6 </w:t>
      </w:r>
      <w:r w:rsidRPr="004D2657">
        <w:rPr>
          <w:rFonts w:cs="Arial"/>
          <w:bCs/>
          <w:i/>
        </w:rPr>
        <w:t>„liczba uczniów objętych doradztwem edukacyjno-zawodowym”</w:t>
      </w:r>
      <w:r w:rsidR="004D2657">
        <w:rPr>
          <w:rFonts w:cs="Arial"/>
          <w:bCs/>
          <w:i/>
        </w:rPr>
        <w:t xml:space="preserve">, </w:t>
      </w:r>
      <w:r w:rsidR="004D2657">
        <w:rPr>
          <w:rFonts w:cs="Arial"/>
          <w:bCs/>
        </w:rPr>
        <w:t xml:space="preserve">który należy uwzględnić przy określaniu wskaźnika  produktu, dla danej formy wsparcia. </w:t>
      </w:r>
      <w:r w:rsidR="00990ED4">
        <w:rPr>
          <w:rFonts w:cs="Arial"/>
          <w:bCs/>
        </w:rPr>
        <w:t>W przypadku, jeżeli wskaźniki przedstawione w dokumentacji konkursowej oraz dostępne w ramach listy rozwijanej w generatorze wniosków aplikacyjnych, nie odpowiadają w pełni na problemy zdiagnozowane w projekcie, m</w:t>
      </w:r>
      <w:r w:rsidR="00086FE6" w:rsidRPr="008735AE">
        <w:rPr>
          <w:rFonts w:cs="Arial"/>
          <w:bCs/>
        </w:rPr>
        <w:t xml:space="preserve">ożliwe jest zgłaszanie </w:t>
      </w:r>
      <w:r w:rsidR="00990ED4">
        <w:rPr>
          <w:rFonts w:cs="Arial"/>
          <w:bCs/>
        </w:rPr>
        <w:t>własnych propozycji wskaźników. Zgodnie z instrukcją wypełniania wniosków należy to</w:t>
      </w:r>
      <w:r w:rsidR="00086FE6" w:rsidRPr="008735AE">
        <w:rPr>
          <w:rFonts w:cs="Arial"/>
          <w:bCs/>
        </w:rPr>
        <w:t xml:space="preserve"> zrobić przesyłając na adre</w:t>
      </w:r>
      <w:r w:rsidR="00E8539F">
        <w:rPr>
          <w:rFonts w:cs="Arial"/>
          <w:bCs/>
        </w:rPr>
        <w:t>s</w:t>
      </w:r>
      <w:r w:rsidR="00086FE6" w:rsidRPr="008735AE">
        <w:rPr>
          <w:rFonts w:cs="Arial"/>
          <w:bCs/>
        </w:rPr>
        <w:t xml:space="preserve"> e-mail </w:t>
      </w:r>
      <w:r w:rsidR="00086FE6" w:rsidRPr="008735AE">
        <w:rPr>
          <w:rFonts w:cs="Arial"/>
        </w:rPr>
        <w:t>opis</w:t>
      </w:r>
      <w:r w:rsidR="00FC2BC8">
        <w:rPr>
          <w:rFonts w:cs="Arial"/>
        </w:rPr>
        <w:t xml:space="preserve"> wskaźnika</w:t>
      </w:r>
      <w:r w:rsidR="00086FE6" w:rsidRPr="008735AE">
        <w:rPr>
          <w:rFonts w:cs="Arial"/>
        </w:rPr>
        <w:t xml:space="preserve">, jednostkę pomiaru i </w:t>
      </w:r>
      <w:r w:rsidR="00FC2BC8">
        <w:rPr>
          <w:rFonts w:cs="Arial"/>
        </w:rPr>
        <w:t>jego nazwę</w:t>
      </w:r>
      <w:r w:rsidR="00086FE6" w:rsidRPr="008735AE">
        <w:rPr>
          <w:rFonts w:cs="Arial"/>
        </w:rPr>
        <w:t>.</w:t>
      </w:r>
      <w:r w:rsidR="00990ED4">
        <w:rPr>
          <w:rFonts w:cs="Arial"/>
        </w:rPr>
        <w:t xml:space="preserve"> Po uzyskaniu akceptacji ze strony IZ wskaźnik zostanie zaimportowany do generatora wniosków w systemie LSI 2014.</w:t>
      </w:r>
    </w:p>
    <w:p w14:paraId="2A34E4B7" w14:textId="77777777" w:rsidR="00086FE6" w:rsidRPr="008735AE" w:rsidRDefault="00086FE6" w:rsidP="0047265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Arial"/>
          <w:b/>
        </w:rPr>
      </w:pPr>
      <w:r w:rsidRPr="008735AE">
        <w:rPr>
          <w:rFonts w:cs="Arial"/>
          <w:b/>
        </w:rPr>
        <w:lastRenderedPageBreak/>
        <w:t>Jakie są adekwatne wskaźniki dla projektu skierowanego do uczniów szkół zawodowych? Czy tylko wskaźnik produktu dotyczący staży? (WLWK) (wskaźnik rezultatu 1 jest nie do osiągniecia)</w:t>
      </w:r>
    </w:p>
    <w:p w14:paraId="4A370A6F" w14:textId="77777777" w:rsidR="00086FE6" w:rsidRPr="008735AE" w:rsidRDefault="00086FE6" w:rsidP="00472658">
      <w:pPr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t xml:space="preserve">Odpowiedź została udzielona w pyt. 2 ad. B. Wybierając wskaźnik dla uczniów należy wybrać wskaźnik produktu nr 3 dotyczący praktyk/staży czyli obligatoryjnej formy wsparcia. Wskaźniki rezultatu nie obejmują monitorowania uczniów w rozumieniu osób nieletnich. </w:t>
      </w:r>
    </w:p>
    <w:p w14:paraId="3C9828E1" w14:textId="77777777" w:rsidR="008E542F" w:rsidRPr="008735AE" w:rsidRDefault="008E542F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b/>
        </w:rPr>
      </w:pPr>
      <w:r w:rsidRPr="008735AE">
        <w:rPr>
          <w:rFonts w:cs="Arial"/>
          <w:b/>
        </w:rPr>
        <w:t>Czy w projekcie jeśli założono pomoc stypendialną – jest regulamin itp., pomoc może być udzielana jedynie uczestnikom projektu? Stypendia dla „wybitnych” bez konieczności całej ścieżki wsparcia.</w:t>
      </w:r>
    </w:p>
    <w:p w14:paraId="34651070" w14:textId="77777777" w:rsidR="008E542F" w:rsidRDefault="008E542F" w:rsidP="00472658">
      <w:pPr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t>Pomoc stypendialna udzielana w ramach typu projektu 1 d) musi być skierowana do uczestników projektu - grupy docelowej obejmowanej wsparciem. Nie ma możliwości wypłaty stypendiów osobom, nie będącym uczestnikami projektu. Typ. 1 d) nie może być jednak realizowany osobno, należy pamiętać o obligatoryjnych formach wsparcia takich jak staże/praktyki oraz doradztwo edukacyjno</w:t>
      </w:r>
      <w:r w:rsidR="00CD02B7">
        <w:rPr>
          <w:rFonts w:cs="Arial"/>
        </w:rPr>
        <w:t xml:space="preserve"> - za</w:t>
      </w:r>
      <w:r w:rsidRPr="008735AE">
        <w:rPr>
          <w:rFonts w:cs="Arial"/>
        </w:rPr>
        <w:t>wodowe. Konstruując Regulamin określający zasady przyznawania stypendiów w</w:t>
      </w:r>
      <w:r w:rsidR="00CD02B7">
        <w:rPr>
          <w:rFonts w:cs="Arial"/>
        </w:rPr>
        <w:t> </w:t>
      </w:r>
      <w:r w:rsidRPr="008735AE">
        <w:rPr>
          <w:rFonts w:cs="Arial"/>
        </w:rPr>
        <w:t xml:space="preserve">ramach projektu należy dopuścić możliwość utworzenia listy rezerwowej osób, które będą mogły być kwalifikowane do obejmowania wsparciem, w przypadku nieukończenia całej ścieżki wsparcia przez uczestnika. </w:t>
      </w:r>
    </w:p>
    <w:p w14:paraId="24346438" w14:textId="77777777" w:rsidR="00422FA6" w:rsidRPr="008735AE" w:rsidRDefault="00422FA6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8735AE">
        <w:rPr>
          <w:b/>
        </w:rPr>
        <w:t>Czy wkład własny może być wnoszony jedynie przez Wnioskodawcę/ Partnera/ Realizatora?</w:t>
      </w:r>
    </w:p>
    <w:p w14:paraId="08F56F6B" w14:textId="77777777" w:rsidR="008735AE" w:rsidRPr="008735AE" w:rsidRDefault="008735AE" w:rsidP="00472658">
      <w:pPr>
        <w:spacing w:after="0" w:line="360" w:lineRule="auto"/>
        <w:jc w:val="both"/>
      </w:pPr>
      <w:r w:rsidRPr="008735AE">
        <w:t>Wnioskodawca</w:t>
      </w:r>
      <w:r w:rsidR="00422FA6" w:rsidRPr="008735AE">
        <w:t xml:space="preserve"> podejmując się realizacji projektu musi zapewnić </w:t>
      </w:r>
      <w:r w:rsidRPr="008735AE">
        <w:t>wniesienie</w:t>
      </w:r>
      <w:r w:rsidR="00422FA6" w:rsidRPr="008735AE">
        <w:t xml:space="preserve"> </w:t>
      </w:r>
      <w:r w:rsidRPr="008735AE">
        <w:t>wkładu</w:t>
      </w:r>
      <w:r w:rsidR="00422FA6" w:rsidRPr="008735AE">
        <w:t xml:space="preserve"> własnego na poziomie minimalnym wymaganym i określonym w dokumentacji konkursowej. </w:t>
      </w:r>
      <w:r w:rsidRPr="008735AE">
        <w:rPr>
          <w:rFonts w:cs="Arial"/>
        </w:rPr>
        <w:t xml:space="preserve">Źródłem finansowania wkładu własnego mogą być zarówno środki publiczne jak i prywatne. </w:t>
      </w:r>
      <w:r w:rsidRPr="008735AE">
        <w:rPr>
          <w:rFonts w:cs="Arial"/>
        </w:rPr>
        <w:br/>
        <w:t xml:space="preserve">O zakwalifikowaniu źródła pochodzenia wkładu własnego (publiczny/prywatny) decyduje status prawny wnioskodawcy/ partnera/strony trzeciej lub uczestnika. Wkład własny może więc pochodzić </w:t>
      </w:r>
      <w:r w:rsidRPr="008735AE">
        <w:rPr>
          <w:rFonts w:cs="Arial"/>
        </w:rPr>
        <w:br/>
        <w:t xml:space="preserve">ze środków m.in.: </w:t>
      </w:r>
    </w:p>
    <w:p w14:paraId="4AC022C1" w14:textId="77777777" w:rsidR="008735AE" w:rsidRPr="008735AE" w:rsidRDefault="008735AE" w:rsidP="004726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</w:rPr>
      </w:pPr>
      <w:r w:rsidRPr="008735AE">
        <w:rPr>
          <w:rFonts w:cs="Arial"/>
        </w:rPr>
        <w:t>budżetu JST (szczebla gminnego, powiatowego i wojewódzkiego),</w:t>
      </w:r>
    </w:p>
    <w:p w14:paraId="48021982" w14:textId="77777777" w:rsidR="008735AE" w:rsidRDefault="00A272C0" w:rsidP="004726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>prywatnych,</w:t>
      </w:r>
    </w:p>
    <w:p w14:paraId="13997070" w14:textId="77777777" w:rsidR="00A272C0" w:rsidRDefault="00A272C0" w:rsidP="004726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>strony trzeciej,</w:t>
      </w:r>
    </w:p>
    <w:p w14:paraId="007B34DC" w14:textId="77777777" w:rsidR="00A272C0" w:rsidRPr="008735AE" w:rsidRDefault="00A272C0" w:rsidP="004726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>uczestnika.</w:t>
      </w:r>
    </w:p>
    <w:p w14:paraId="11A789EE" w14:textId="77777777" w:rsidR="008735AE" w:rsidRPr="008735AE" w:rsidRDefault="008735AE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t xml:space="preserve">Nie ma </w:t>
      </w:r>
      <w:r w:rsidR="00A272C0">
        <w:rPr>
          <w:rFonts w:cs="Arial"/>
        </w:rPr>
        <w:t>zatem</w:t>
      </w:r>
      <w:r w:rsidRPr="008735AE">
        <w:rPr>
          <w:rFonts w:cs="Arial"/>
        </w:rPr>
        <w:t xml:space="preserve"> przeciwskazań aby wkład własny wnoszony był przez osoby trzecie, np. pracodawców uczestniczących w projekcie.</w:t>
      </w:r>
    </w:p>
    <w:p w14:paraId="6363372B" w14:textId="77777777" w:rsidR="008735AE" w:rsidRPr="008735AE" w:rsidRDefault="008735AE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8735AE">
        <w:rPr>
          <w:b/>
        </w:rPr>
        <w:t>Czy partycypacja w kosztach dot. staży (kryterium premiujące)przez przedsiębiorcę może stanowić również wkład własny w projekcie?</w:t>
      </w:r>
    </w:p>
    <w:p w14:paraId="70484B71" w14:textId="77777777" w:rsidR="008735AE" w:rsidRPr="008735AE" w:rsidRDefault="008735AE" w:rsidP="00472658">
      <w:pPr>
        <w:spacing w:after="0" w:line="360" w:lineRule="auto"/>
        <w:jc w:val="both"/>
      </w:pPr>
      <w:r w:rsidRPr="008735AE">
        <w:lastRenderedPageBreak/>
        <w:t>Pracodawca partycypujący w kosztach dotyczących organizacji staży, np. przy wyposażaniu stanowiska pracy, kierując stażystę na obowiązkowe badania i szkolenie BHP</w:t>
      </w:r>
      <w:r>
        <w:t xml:space="preserve"> itp.</w:t>
      </w:r>
      <w:r w:rsidRPr="008735AE">
        <w:t xml:space="preserve">, może część swojego udziału (5%) wnieść do projektu jako wkład własny. Z poziomu Wnioskodawcy kwota ta jest traktowana jak wniesienie wkładu własnego przez osoby trzecie i jest uwzględniana w ogólnej kwocie wymaganej do wniesienia w ramach wkładu własnego. </w:t>
      </w:r>
    </w:p>
    <w:p w14:paraId="208315E7" w14:textId="77777777" w:rsidR="00733F71" w:rsidRDefault="00733F71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733F71">
        <w:rPr>
          <w:b/>
        </w:rPr>
        <w:t>Czy sale własne – wkład niepieniężny udostępniane przez szkołę w której są zajęcia dla uczniów, ale nie jest ta szkoła partnerem/ realizatorem może stanowić wkład własny?</w:t>
      </w:r>
    </w:p>
    <w:p w14:paraId="5FEC0F77" w14:textId="77777777" w:rsidR="00733F71" w:rsidRPr="00733F71" w:rsidRDefault="00777550" w:rsidP="00472658">
      <w:pPr>
        <w:spacing w:after="0" w:line="360" w:lineRule="auto"/>
        <w:jc w:val="both"/>
      </w:pPr>
      <w:r>
        <w:t>Sale mogą stanowić wkład niepieniężny, jednakże w</w:t>
      </w:r>
      <w:r w:rsidR="00733F71" w:rsidRPr="00733F71">
        <w:t xml:space="preserve"> przypadku udostępnienia sal należy pamiętać o</w:t>
      </w:r>
      <w:r>
        <w:t> </w:t>
      </w:r>
      <w:r w:rsidR="00733F71" w:rsidRPr="00733F71">
        <w:t xml:space="preserve">konieczności wskazania dokumentów potwierdzających możliwość wniesienia tego </w:t>
      </w:r>
      <w:r>
        <w:t>wkładu. W </w:t>
      </w:r>
      <w:r w:rsidR="00733F71" w:rsidRPr="00733F71">
        <w:t xml:space="preserve">przypadku </w:t>
      </w:r>
      <w:r w:rsidR="00733F71">
        <w:t xml:space="preserve">wkładu </w:t>
      </w:r>
      <w:r w:rsidR="00733F71" w:rsidRPr="00733F71">
        <w:t xml:space="preserve">niepieniężnego opisanego powyżej dokumentem </w:t>
      </w:r>
      <w:r w:rsidR="00733F71">
        <w:t>potwierdzającym poniesienie wydatku po</w:t>
      </w:r>
      <w:r w:rsidR="00733F71" w:rsidRPr="00733F71">
        <w:t xml:space="preserve">winna być stosowna umowa użyczenia. W przypadku </w:t>
      </w:r>
      <w:r w:rsidR="00733F71">
        <w:t>wnoszenia wkładu własnego w</w:t>
      </w:r>
      <w:r>
        <w:t> </w:t>
      </w:r>
      <w:r w:rsidR="00733F71">
        <w:t xml:space="preserve">formie pieniężnej, </w:t>
      </w:r>
      <w:r w:rsidR="00733F71" w:rsidRPr="00733F71">
        <w:t xml:space="preserve"> umowa najmu poparta np. cennikiem itp. Każdorazowo </w:t>
      </w:r>
      <w:r w:rsidR="00733F71">
        <w:t xml:space="preserve">sposób wyliczenia wkładu własnego </w:t>
      </w:r>
      <w:r w:rsidR="00733F71" w:rsidRPr="00733F71">
        <w:t>należy wskazać w</w:t>
      </w:r>
      <w:r w:rsidR="00CD02B7">
        <w:t> </w:t>
      </w:r>
      <w:r w:rsidR="00733F71" w:rsidRPr="00733F71">
        <w:t>metodologii wyl</w:t>
      </w:r>
      <w:r w:rsidR="00733F71">
        <w:t>iczenia poziomu wkładu własnego w</w:t>
      </w:r>
      <w:r>
        <w:t> </w:t>
      </w:r>
      <w:r w:rsidR="00733F71">
        <w:t>odpowiednim polu we wniosku o</w:t>
      </w:r>
      <w:r w:rsidR="00CD02B7">
        <w:t> </w:t>
      </w:r>
      <w:r w:rsidR="00733F71">
        <w:t xml:space="preserve">dofinansowanie. </w:t>
      </w:r>
    </w:p>
    <w:p w14:paraId="7E1A2C2E" w14:textId="77777777" w:rsidR="008735AE" w:rsidRPr="00E8539F" w:rsidRDefault="00733F71" w:rsidP="004726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E8539F">
        <w:rPr>
          <w:b/>
        </w:rPr>
        <w:t>Czy szkoła będąc wnioskodawcą  musi ogłosić nabór na partnerów (zasada konkurencyjności)- szkołą to zrobiła i porozumiała się z ZIRiP.</w:t>
      </w:r>
    </w:p>
    <w:p w14:paraId="4D1DECC0" w14:textId="77777777" w:rsidR="00733F71" w:rsidRDefault="00733F71" w:rsidP="0047265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Szkoła jako organ JST, instytucja publiczna zobligowana jest do dokonania wyboru partnera w</w:t>
      </w:r>
      <w:r w:rsidR="00CD02B7">
        <w:rPr>
          <w:rFonts w:cs="Arial"/>
        </w:rPr>
        <w:t> </w:t>
      </w:r>
      <w:r w:rsidRPr="00733F71">
        <w:rPr>
          <w:rFonts w:cs="Arial"/>
        </w:rPr>
        <w:t xml:space="preserve">projekcie w trybie konkurencyjnym, prowadząc otwarty nabór, udostępniony publicznie dla wszystkich potencjalnych zainteresowanych. </w:t>
      </w:r>
    </w:p>
    <w:p w14:paraId="10106E53" w14:textId="77777777" w:rsidR="00733F71" w:rsidRPr="00733F71" w:rsidRDefault="00733F71" w:rsidP="00472658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733F71">
        <w:rPr>
          <w:rFonts w:eastAsia="Times New Roman" w:cs="Times New Roman"/>
          <w:iCs/>
          <w:lang w:eastAsia="pl-PL"/>
        </w:rPr>
        <w:t> "W przypadku projektów partnerskich realizowanych na podstawie umowy partnerskiej, podmiot o</w:t>
      </w:r>
      <w:r w:rsidR="00CD02B7">
        <w:rPr>
          <w:rFonts w:eastAsia="Times New Roman" w:cs="Times New Roman"/>
          <w:iCs/>
          <w:lang w:eastAsia="pl-PL"/>
        </w:rPr>
        <w:t> </w:t>
      </w:r>
      <w:r w:rsidRPr="00733F71">
        <w:rPr>
          <w:rFonts w:eastAsia="Times New Roman" w:cs="Times New Roman"/>
          <w:iCs/>
          <w:lang w:eastAsia="pl-PL"/>
        </w:rPr>
        <w:t>którym mowa w art. 3 ust. 1 ustawy z dnia 29 stycznia 2004 r. - Prawo zamówień publicznych, ubiegający się o dofinansowanie, dokonuje wyboru partnerów spoza sektora finansów publicznych z</w:t>
      </w:r>
      <w:r w:rsidR="00CD02B7">
        <w:rPr>
          <w:rFonts w:eastAsia="Times New Roman" w:cs="Times New Roman"/>
          <w:iCs/>
          <w:lang w:eastAsia="pl-PL"/>
        </w:rPr>
        <w:t> </w:t>
      </w:r>
      <w:r w:rsidRPr="00733F71">
        <w:rPr>
          <w:rFonts w:eastAsia="Times New Roman" w:cs="Times New Roman"/>
          <w:iCs/>
          <w:lang w:eastAsia="pl-PL"/>
        </w:rPr>
        <w:t>zachowaniem zasady przejrzystości i równego traktowania podmiotów, w szczególności jest zobowiązany do:</w:t>
      </w:r>
    </w:p>
    <w:p w14:paraId="61652132" w14:textId="77777777" w:rsidR="00733F71" w:rsidRPr="00733F71" w:rsidRDefault="00733F71" w:rsidP="0047265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733F71">
        <w:rPr>
          <w:rFonts w:eastAsia="Times New Roman" w:cs="Times New Roman"/>
          <w:iCs/>
          <w:lang w:eastAsia="pl-PL"/>
        </w:rPr>
        <w:t>ogłoszenia otwartego naboru partnerów w dzienniku ogólnopolskim lub lokalnym oraz w</w:t>
      </w:r>
      <w:r w:rsidR="00CD02B7">
        <w:rPr>
          <w:rFonts w:eastAsia="Times New Roman" w:cs="Times New Roman"/>
          <w:iCs/>
          <w:lang w:eastAsia="pl-PL"/>
        </w:rPr>
        <w:t> </w:t>
      </w:r>
      <w:r w:rsidRPr="00733F71">
        <w:rPr>
          <w:rFonts w:eastAsia="Times New Roman" w:cs="Times New Roman"/>
          <w:iCs/>
          <w:lang w:eastAsia="pl-PL"/>
        </w:rPr>
        <w:t>Biuletynie Informacji Publicznej; w ogłoszeniu powinien być wskazany termin co najmniej 21 dni na zgłoszenie partnerów;</w:t>
      </w:r>
    </w:p>
    <w:p w14:paraId="7FB75A18" w14:textId="77777777" w:rsidR="00733F71" w:rsidRPr="00733F71" w:rsidRDefault="00733F71" w:rsidP="0047265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733F71">
        <w:rPr>
          <w:rFonts w:eastAsia="Times New Roman" w:cs="Times New Roman"/>
          <w:iCs/>
          <w:lang w:eastAsia="pl-PL"/>
        </w:rPr>
        <w:t>uwzględnienia przy wyborze partnerów: zgodności działania potencjalnego partnera z celami partnerstwa, oferowanego wkładu potencjalnego partnera w realizację celu partnerstwa, doświadczenie w realizacji projektów o podobnym charakterze, współpracę z beneficjentem w trakcie przygotowania projektu;</w:t>
      </w:r>
    </w:p>
    <w:p w14:paraId="3808503E" w14:textId="77777777" w:rsidR="00733F71" w:rsidRPr="008B510E" w:rsidRDefault="00733F71" w:rsidP="00472658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733F71">
        <w:rPr>
          <w:rFonts w:eastAsia="Times New Roman" w:cs="Times New Roman"/>
          <w:iCs/>
          <w:lang w:eastAsia="pl-PL"/>
        </w:rPr>
        <w:t>podania do publicznej wiadomości informacji o stronach umowy o partnerstwie oraz zakresu zadań partnerów".</w:t>
      </w:r>
    </w:p>
    <w:p w14:paraId="31FB2860" w14:textId="77777777" w:rsidR="00733F71" w:rsidRPr="008B510E" w:rsidRDefault="00733F71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8B510E">
        <w:rPr>
          <w:b/>
        </w:rPr>
        <w:lastRenderedPageBreak/>
        <w:t xml:space="preserve">Czy podmiot prywatny będąc w partnerstwie z w/w szkołą jeśli chciałby być wnioskodawcą to musi ogłaszać taki nabór czy nie? </w:t>
      </w:r>
    </w:p>
    <w:p w14:paraId="0B48BA27" w14:textId="77777777" w:rsidR="00930AA1" w:rsidRDefault="00930AA1" w:rsidP="00472658">
      <w:pPr>
        <w:spacing w:after="0" w:line="360" w:lineRule="auto"/>
        <w:jc w:val="both"/>
      </w:pPr>
      <w:r>
        <w:t>Podmioty prywatne nie są zobligowane do stosowanie Ustawy PZP, obowiązu</w:t>
      </w:r>
      <w:r w:rsidR="008B510E">
        <w:t>je ich zasada konkurencyjności. Podmioty prywatne nie podlegają obowiązkowi przeprowadzenia procedury wyboru partnera zgodnie z zapisami Ustawy PZP.</w:t>
      </w:r>
    </w:p>
    <w:p w14:paraId="001A2464" w14:textId="77777777" w:rsidR="00930AA1" w:rsidRDefault="00930AA1" w:rsidP="00472658">
      <w:pPr>
        <w:spacing w:after="0" w:line="360" w:lineRule="auto"/>
        <w:jc w:val="both"/>
      </w:pPr>
    </w:p>
    <w:p w14:paraId="05F2C8FA" w14:textId="77777777" w:rsidR="00930AA1" w:rsidRPr="00930AA1" w:rsidRDefault="00930AA1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930AA1">
        <w:rPr>
          <w:b/>
        </w:rPr>
        <w:t xml:space="preserve">Czy jeśli mamy OHP a dla niego organem prowadzącym jest Wojewódzka Komanda OHP- czy ona może zatwierdzić diagnozę dla OHP </w:t>
      </w:r>
    </w:p>
    <w:p w14:paraId="4E14DE96" w14:textId="77777777" w:rsidR="00930AA1" w:rsidRDefault="00930AA1" w:rsidP="00472658">
      <w:pPr>
        <w:spacing w:after="0" w:line="360" w:lineRule="auto"/>
        <w:jc w:val="both"/>
      </w:pPr>
      <w:r>
        <w:t xml:space="preserve">Wojewódzka Komenda OHP Spełnia wymogi organu prowadzącego zgodnie </w:t>
      </w:r>
      <w:r w:rsidRPr="008B510E">
        <w:t xml:space="preserve">z </w:t>
      </w:r>
      <w:r w:rsidRPr="008B510E">
        <w:rPr>
          <w:bCs/>
        </w:rPr>
        <w:t>Rozporządzeniem</w:t>
      </w:r>
      <w:r w:rsidRPr="008B510E">
        <w:t xml:space="preserve"> </w:t>
      </w:r>
      <w:r w:rsidRPr="008B510E">
        <w:rPr>
          <w:bCs/>
        </w:rPr>
        <w:t xml:space="preserve">Rady Ministrów </w:t>
      </w:r>
      <w:r w:rsidRPr="008B510E">
        <w:t xml:space="preserve">z dnia 9 listopada 2004 r. </w:t>
      </w:r>
      <w:r w:rsidRPr="008B510E">
        <w:rPr>
          <w:bCs/>
        </w:rPr>
        <w:t xml:space="preserve">w sprawie sposobu organizacji uzupełnienia wykształcenia ogólnego młodzieży w Ochotniczych Hufcach Pracy oraz zdobywania przez nią kwalifikacji zawodowych </w:t>
      </w:r>
      <w:r w:rsidRPr="008B510E">
        <w:t>(Dz. U. Nr 262, poz. 2604 z 10 grudnia 2004 r.). Oznacza to, że jest instytucją uprawnioną do zatwierdzenia diagnozy dla palcówki oświatowej prowadzonej w ramach OHP</w:t>
      </w:r>
      <w:r>
        <w:t xml:space="preserve">. </w:t>
      </w:r>
    </w:p>
    <w:p w14:paraId="11ABF872" w14:textId="77777777" w:rsidR="00930AA1" w:rsidRDefault="00930AA1" w:rsidP="00472658">
      <w:pPr>
        <w:spacing w:after="0" w:line="360" w:lineRule="auto"/>
        <w:jc w:val="both"/>
      </w:pPr>
    </w:p>
    <w:p w14:paraId="0D66F9D8" w14:textId="77777777" w:rsidR="00930AA1" w:rsidRPr="000D16A3" w:rsidRDefault="00930AA1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0D16A3">
        <w:rPr>
          <w:b/>
        </w:rPr>
        <w:t xml:space="preserve">Wyposażenie pracowni lub warsztatów szkolnych dla zawodów szkolnictwa zawodowego: Kierunek nowy może być realizowany od września 2016 r. ale nie ma określonego katalogu wyposażenia pracowni lub warsztatów na </w:t>
      </w:r>
      <w:hyperlink r:id="rId7" w:history="1">
        <w:r w:rsidRPr="000D16A3">
          <w:rPr>
            <w:rStyle w:val="Hipercze"/>
            <w:b/>
          </w:rPr>
          <w:t>www.koweziu.edu.pl</w:t>
        </w:r>
      </w:hyperlink>
      <w:r w:rsidRPr="000D16A3">
        <w:rPr>
          <w:b/>
        </w:rPr>
        <w:t>, co z wydatkami???czy mogą realizować takie wsparcie ?</w:t>
      </w:r>
    </w:p>
    <w:p w14:paraId="428B916F" w14:textId="77777777" w:rsidR="00930AA1" w:rsidRDefault="008B510E" w:rsidP="00472658">
      <w:pPr>
        <w:spacing w:after="0" w:line="360" w:lineRule="auto"/>
        <w:jc w:val="both"/>
      </w:pPr>
      <w:r>
        <w:t>Możliwe jest realizowanie wsparcia w postaci wyposażenia pracowni lub warsztatów szkolnych zgodnie z wymogami dla danego przedmiotu</w:t>
      </w:r>
      <w:r w:rsidR="00234EDE">
        <w:t>/zawodu</w:t>
      </w:r>
      <w:r>
        <w:t xml:space="preserve">. Konstruując budżet projektu w danym zakresie należy jednak pamiętać o zasadzie efektywności oraz racjonalności ponoszonych wydatków. </w:t>
      </w:r>
      <w:r w:rsidR="00234EDE">
        <w:t>Zadanie dotyczące wyposażenia pracowni lub warsztatów powinno zostać jednoznacznie nazwane nazwą przedmiotu lub zawodu, którego będzie dotyczyć. Np. „wyposażenie pracowni dla zawodu technik chłodnictwa i klimatyzacji”.</w:t>
      </w:r>
    </w:p>
    <w:p w14:paraId="7F57317A" w14:textId="77777777" w:rsidR="008B510E" w:rsidRDefault="008B510E" w:rsidP="00472658">
      <w:pPr>
        <w:spacing w:after="0" w:line="360" w:lineRule="auto"/>
        <w:jc w:val="both"/>
      </w:pPr>
    </w:p>
    <w:p w14:paraId="4F121393" w14:textId="77777777" w:rsidR="00930AA1" w:rsidRPr="000D16A3" w:rsidRDefault="00930AA1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0D16A3">
        <w:rPr>
          <w:b/>
        </w:rPr>
        <w:t xml:space="preserve">Czy opłaty od uczestników mogą stanowić wkład własny? (od nauczycieli objętych </w:t>
      </w:r>
      <w:r w:rsidR="000D16A3">
        <w:rPr>
          <w:b/>
        </w:rPr>
        <w:t>w</w:t>
      </w:r>
      <w:r w:rsidRPr="000D16A3">
        <w:rPr>
          <w:b/>
        </w:rPr>
        <w:t>sparciem)</w:t>
      </w:r>
    </w:p>
    <w:p w14:paraId="0385CACB" w14:textId="77777777" w:rsidR="00930AA1" w:rsidRPr="008735AE" w:rsidRDefault="00930AA1" w:rsidP="00472658">
      <w:pPr>
        <w:spacing w:after="0" w:line="360" w:lineRule="auto"/>
        <w:jc w:val="both"/>
      </w:pPr>
      <w:r w:rsidRPr="008735AE">
        <w:rPr>
          <w:rFonts w:cs="Arial"/>
        </w:rPr>
        <w:t xml:space="preserve">O zakwalifikowaniu źródła pochodzenia wkładu własnego (publiczny/prywatny) decyduje status prawny wnioskodawcy/ partnera/strony trzeciej lub uczestnika. Wkład własny może więc pochodzić </w:t>
      </w:r>
      <w:r w:rsidRPr="008735AE">
        <w:rPr>
          <w:rFonts w:cs="Arial"/>
        </w:rPr>
        <w:br/>
        <w:t xml:space="preserve">ze środków m.in.: </w:t>
      </w:r>
    </w:p>
    <w:p w14:paraId="3EC17FCC" w14:textId="77777777" w:rsidR="00930AA1" w:rsidRPr="008735AE" w:rsidRDefault="00930AA1" w:rsidP="004726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</w:rPr>
      </w:pPr>
      <w:r w:rsidRPr="008735AE">
        <w:rPr>
          <w:rFonts w:cs="Arial"/>
        </w:rPr>
        <w:t>budżetu JST (szczebla gminnego, powiatowego i wojewódzkiego),</w:t>
      </w:r>
    </w:p>
    <w:p w14:paraId="20509BD7" w14:textId="77777777" w:rsidR="00930AA1" w:rsidRPr="008735AE" w:rsidRDefault="00930AA1" w:rsidP="004726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</w:rPr>
      </w:pPr>
      <w:r w:rsidRPr="008735AE">
        <w:rPr>
          <w:rFonts w:cs="Arial"/>
        </w:rPr>
        <w:t>prywatnych.</w:t>
      </w:r>
    </w:p>
    <w:p w14:paraId="4F773BB4" w14:textId="77777777" w:rsidR="00930AA1" w:rsidRDefault="00930AA1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735AE">
        <w:rPr>
          <w:rFonts w:cs="Arial"/>
        </w:rPr>
        <w:t>N</w:t>
      </w:r>
      <w:r w:rsidR="00234EDE">
        <w:rPr>
          <w:rFonts w:cs="Arial"/>
        </w:rPr>
        <w:t xml:space="preserve">ie ma </w:t>
      </w:r>
      <w:r w:rsidRPr="008735AE">
        <w:rPr>
          <w:rFonts w:cs="Arial"/>
        </w:rPr>
        <w:t xml:space="preserve">przeciwskazań aby wkład własny wnoszony był przez osoby trzecie, np. </w:t>
      </w:r>
      <w:r>
        <w:rPr>
          <w:rFonts w:cs="Arial"/>
        </w:rPr>
        <w:t xml:space="preserve">nauczycieli </w:t>
      </w:r>
      <w:r w:rsidRPr="008735AE">
        <w:rPr>
          <w:rFonts w:cs="Arial"/>
        </w:rPr>
        <w:t>uczestniczących w projekcie.</w:t>
      </w:r>
      <w:r w:rsidR="00234EDE">
        <w:rPr>
          <w:rFonts w:cs="Arial"/>
        </w:rPr>
        <w:t xml:space="preserve"> Należy jednak mieć na uwadze status finansowy osób uczestniczących </w:t>
      </w:r>
      <w:r w:rsidR="00234EDE">
        <w:rPr>
          <w:rFonts w:cs="Arial"/>
        </w:rPr>
        <w:lastRenderedPageBreak/>
        <w:t>w projekcie, nie można zatem doprowadzić do sytuacji gdy konieczność wniesienia częściowej opłaty za udział w projekcie jest warunkiem ograniczającym możliwość uczestnictwa w nim.</w:t>
      </w:r>
    </w:p>
    <w:p w14:paraId="2C3A55DD" w14:textId="77777777" w:rsidR="00930AA1" w:rsidRDefault="00930AA1" w:rsidP="00472658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14:paraId="54FCC139" w14:textId="77777777" w:rsidR="00930AA1" w:rsidRPr="000D16A3" w:rsidRDefault="00930AA1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0D16A3">
        <w:rPr>
          <w:b/>
        </w:rPr>
        <w:t>Szkolenia językowe dla uczestników w ramach których typów mogą być realizowane a</w:t>
      </w:r>
      <w:r w:rsidR="00CD02B7">
        <w:rPr>
          <w:b/>
        </w:rPr>
        <w:t> </w:t>
      </w:r>
      <w:r w:rsidRPr="000D16A3">
        <w:rPr>
          <w:b/>
        </w:rPr>
        <w:t>w</w:t>
      </w:r>
      <w:r w:rsidR="00CD02B7">
        <w:rPr>
          <w:b/>
        </w:rPr>
        <w:t> </w:t>
      </w:r>
      <w:r w:rsidRPr="000D16A3">
        <w:rPr>
          <w:b/>
        </w:rPr>
        <w:t>których nie.</w:t>
      </w:r>
    </w:p>
    <w:p w14:paraId="7F8D7B8C" w14:textId="77777777" w:rsidR="00930AA1" w:rsidRDefault="00930AA1" w:rsidP="00C23D70">
      <w:pPr>
        <w:spacing w:after="0" w:line="360" w:lineRule="auto"/>
        <w:ind w:left="360"/>
        <w:jc w:val="both"/>
      </w:pPr>
      <w:r>
        <w:t>Szkolenia językowe co do zasady nie mogą być realizowane w ramach typów projektów przewidzianych w Działania 8.6. Wsparcie w postaci kursów językowych uwzględniających język branżowy, mogło by być realizowane dla uczniów w ramach typu 1 h)</w:t>
      </w:r>
      <w:r w:rsidR="00C23D70">
        <w:t xml:space="preserve"> lub 1 e)</w:t>
      </w:r>
      <w:r>
        <w:t xml:space="preserve"> jako moduł uzupełniający w ramach kwalifikacyjnych kursów zawodowych. Nie ma możliwości realizowania szkoleń językowych </w:t>
      </w:r>
      <w:r w:rsidR="00C23D70">
        <w:t>dla</w:t>
      </w:r>
      <w:r>
        <w:t xml:space="preserve"> nauczycieli</w:t>
      </w:r>
      <w:r w:rsidR="00C23D70">
        <w:t>.</w:t>
      </w:r>
      <w:r w:rsidR="0098213B">
        <w:t xml:space="preserve"> </w:t>
      </w:r>
      <w:r w:rsidR="00C23D70">
        <w:t>F</w:t>
      </w:r>
      <w:r w:rsidR="0098213B">
        <w:t>ormy wsparcia</w:t>
      </w:r>
      <w:r w:rsidR="00C23D70">
        <w:t xml:space="preserve"> przewidziane dla tej grupy odbiorców</w:t>
      </w:r>
      <w:r w:rsidR="0098213B">
        <w:t xml:space="preserve"> jasno kwalifikują studia podyplomowe przygotowujące do wykonywania zawodu nauczyciela przedmiotów zawodowych oraz kursy kwalifikacyjne  lub szkolenia w zakresie tematyki związanej z nauczanym zawodem.</w:t>
      </w:r>
      <w:r>
        <w:t xml:space="preserve"> </w:t>
      </w:r>
    </w:p>
    <w:p w14:paraId="71C9B3E0" w14:textId="77777777" w:rsidR="007A31EC" w:rsidRPr="000D16A3" w:rsidRDefault="007A31EC" w:rsidP="00472658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0D16A3">
        <w:rPr>
          <w:rFonts w:ascii="Arial" w:hAnsi="Arial" w:cs="Arial"/>
          <w:b/>
          <w:sz w:val="20"/>
          <w:szCs w:val="20"/>
        </w:rPr>
        <w:t xml:space="preserve">W przypadku kierowania projektu do dorosłych słuchaczy szkół i placówek systemu oświaty prowadzących kształcenie zawodowe oraz uczestników pozaszkolnych form kształcenia zawodowego skierowanie na staż zawodowy i/lub praktykę zawodową jest fakultatywną formą wsparcia i wynika ze zdiagnozowania potrzeb tej grupy uczestników projektu co do udzielanego wsparcia - </w:t>
      </w:r>
      <w:r w:rsidRPr="000D16A3">
        <w:rPr>
          <w:b/>
        </w:rPr>
        <w:t>na jakiej podstawie należy realizować staż/ praktyk?</w:t>
      </w:r>
    </w:p>
    <w:p w14:paraId="620688B1" w14:textId="77777777" w:rsidR="007A31EC" w:rsidRDefault="007A31EC" w:rsidP="00472658">
      <w:pPr>
        <w:spacing w:after="0" w:line="360" w:lineRule="auto"/>
        <w:ind w:left="360"/>
        <w:jc w:val="both"/>
      </w:pPr>
      <w:r>
        <w:t xml:space="preserve">Typ 1 dotyczy realizacji staży i praktyk dla uczniów. Jest jednakże obligatoryjny w celu realizacji całego projektu. Nie jest możliwe skierowanie wsparcia tylko do nauczycieli. Jeżeli jednak jedną z grup docelowych w projekcie są osoby dorosłe, nauczyciele, wówczas nie ma potrzeby organizowania dla tej grupy staży/praktyk, jest to typ fakultatywny. </w:t>
      </w:r>
      <w:r w:rsidR="001E4F73">
        <w:t>W przypadku  zdiagnozowania w projekcie konieczności objęcia taką formą wsparcia nauczycieli, zakres praktyk/staży musi być zgodny z Europejską Ramą jakości Staży i Praktyk.</w:t>
      </w:r>
    </w:p>
    <w:sectPr w:rsidR="007A31EC" w:rsidSect="00CD02B7">
      <w:pgSz w:w="11907" w:h="16839" w:code="9"/>
      <w:pgMar w:top="851" w:right="1701" w:bottom="2155" w:left="1304" w:header="709" w:footer="14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141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18D"/>
    <w:multiLevelType w:val="hybridMultilevel"/>
    <w:tmpl w:val="6F36F6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872"/>
    <w:multiLevelType w:val="hybridMultilevel"/>
    <w:tmpl w:val="6E32D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A61"/>
    <w:multiLevelType w:val="hybridMultilevel"/>
    <w:tmpl w:val="BFC8E9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360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D60"/>
    <w:multiLevelType w:val="hybridMultilevel"/>
    <w:tmpl w:val="22B624E6"/>
    <w:lvl w:ilvl="0" w:tplc="66183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E0F67"/>
    <w:multiLevelType w:val="hybridMultilevel"/>
    <w:tmpl w:val="6EB48A98"/>
    <w:lvl w:ilvl="0" w:tplc="19F8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A56D7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24FD"/>
    <w:multiLevelType w:val="hybridMultilevel"/>
    <w:tmpl w:val="D6F4F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5649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8167B"/>
    <w:multiLevelType w:val="hybridMultilevel"/>
    <w:tmpl w:val="42703E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2E44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052E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7206"/>
    <w:multiLevelType w:val="multilevel"/>
    <w:tmpl w:val="3D82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D74C1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43C4B"/>
    <w:multiLevelType w:val="multilevel"/>
    <w:tmpl w:val="F8100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47722F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4541E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78DC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A2186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F00F5"/>
    <w:multiLevelType w:val="hybridMultilevel"/>
    <w:tmpl w:val="7BD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5"/>
  </w:num>
  <w:num w:numId="5">
    <w:abstractNumId w:val="12"/>
  </w:num>
  <w:num w:numId="6">
    <w:abstractNumId w:val="11"/>
  </w:num>
  <w:num w:numId="7">
    <w:abstractNumId w:val="9"/>
  </w:num>
  <w:num w:numId="8">
    <w:abstractNumId w:val="18"/>
  </w:num>
  <w:num w:numId="9">
    <w:abstractNumId w:val="10"/>
  </w:num>
  <w:num w:numId="10">
    <w:abstractNumId w:val="1"/>
  </w:num>
  <w:num w:numId="11">
    <w:abstractNumId w:val="3"/>
  </w:num>
  <w:num w:numId="12">
    <w:abstractNumId w:val="16"/>
  </w:num>
  <w:num w:numId="13">
    <w:abstractNumId w:val="8"/>
  </w:num>
  <w:num w:numId="14">
    <w:abstractNumId w:val="15"/>
  </w:num>
  <w:num w:numId="15">
    <w:abstractNumId w:val="0"/>
  </w:num>
  <w:num w:numId="16">
    <w:abstractNumId w:val="20"/>
  </w:num>
  <w:num w:numId="17">
    <w:abstractNumId w:val="13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3F"/>
    <w:rsid w:val="000002DE"/>
    <w:rsid w:val="0007622D"/>
    <w:rsid w:val="00086FE6"/>
    <w:rsid w:val="000B3B3F"/>
    <w:rsid w:val="000D16A3"/>
    <w:rsid w:val="001E49A1"/>
    <w:rsid w:val="001E4F73"/>
    <w:rsid w:val="001F4FB5"/>
    <w:rsid w:val="00234EDE"/>
    <w:rsid w:val="0029607A"/>
    <w:rsid w:val="00422FA6"/>
    <w:rsid w:val="0044414B"/>
    <w:rsid w:val="00472658"/>
    <w:rsid w:val="004D2657"/>
    <w:rsid w:val="004D27AA"/>
    <w:rsid w:val="00562B71"/>
    <w:rsid w:val="005F3200"/>
    <w:rsid w:val="00674283"/>
    <w:rsid w:val="00733F71"/>
    <w:rsid w:val="00777550"/>
    <w:rsid w:val="007A31EC"/>
    <w:rsid w:val="007C09C9"/>
    <w:rsid w:val="007C2864"/>
    <w:rsid w:val="007D6253"/>
    <w:rsid w:val="008735AE"/>
    <w:rsid w:val="008B510E"/>
    <w:rsid w:val="008E542F"/>
    <w:rsid w:val="0090635B"/>
    <w:rsid w:val="00930AA1"/>
    <w:rsid w:val="009710C9"/>
    <w:rsid w:val="0098213B"/>
    <w:rsid w:val="00990ED4"/>
    <w:rsid w:val="00A15F9C"/>
    <w:rsid w:val="00A26196"/>
    <w:rsid w:val="00A272C0"/>
    <w:rsid w:val="00A46370"/>
    <w:rsid w:val="00A536CE"/>
    <w:rsid w:val="00A8180A"/>
    <w:rsid w:val="00B4363F"/>
    <w:rsid w:val="00BA0ED6"/>
    <w:rsid w:val="00C23D70"/>
    <w:rsid w:val="00C30FFF"/>
    <w:rsid w:val="00CD02B7"/>
    <w:rsid w:val="00CE073C"/>
    <w:rsid w:val="00D368B1"/>
    <w:rsid w:val="00E45964"/>
    <w:rsid w:val="00E8539F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0DD"/>
  <w15:docId w15:val="{A0DB44EF-ACB6-4253-A1E2-2D7682C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FFF"/>
  </w:style>
  <w:style w:type="paragraph" w:styleId="Nagwek1">
    <w:name w:val="heading 1"/>
    <w:basedOn w:val="Normalny"/>
    <w:link w:val="Nagwek1Znak"/>
    <w:uiPriority w:val="9"/>
    <w:qFormat/>
    <w:rsid w:val="00B43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6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63F"/>
  </w:style>
  <w:style w:type="paragraph" w:styleId="Akapitzlist">
    <w:name w:val="List Paragraph"/>
    <w:basedOn w:val="Normalny"/>
    <w:link w:val="AkapitzlistZnak"/>
    <w:uiPriority w:val="34"/>
    <w:qFormat/>
    <w:rsid w:val="00B4363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A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35AE"/>
  </w:style>
  <w:style w:type="character" w:styleId="Hipercze">
    <w:name w:val="Hyperlink"/>
    <w:basedOn w:val="Domylnaczcionkaakapitu"/>
    <w:uiPriority w:val="99"/>
    <w:unhideWhenUsed/>
    <w:rsid w:val="00930AA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1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1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wezi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wo.vulcan.edu.pl/przegdok.asp?qdatprz=14-03-2016&amp;qpliki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BB38-3C16-4F35-9A88-958D11EA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Jerchewicz-Rom Milena</dc:creator>
  <cp:keywords/>
  <dc:description/>
  <cp:lastModifiedBy>Jerchewicz-Rom Milena</cp:lastModifiedBy>
  <cp:revision>4</cp:revision>
  <dcterms:created xsi:type="dcterms:W3CDTF">2016-03-14T07:50:00Z</dcterms:created>
  <dcterms:modified xsi:type="dcterms:W3CDTF">2016-03-14T08:55:00Z</dcterms:modified>
</cp:coreProperties>
</file>