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44" w:rsidRPr="00FD32DC" w:rsidRDefault="00EA7C44" w:rsidP="00EA7C44">
      <w:pPr>
        <w:ind w:firstLine="0"/>
        <w:jc w:val="center"/>
        <w:rPr>
          <w:b/>
          <w:i/>
          <w:iCs/>
          <w:color w:val="4F81BD" w:themeColor="accent1"/>
        </w:rPr>
      </w:pPr>
      <w:r w:rsidRPr="00FD32DC">
        <w:rPr>
          <w:rStyle w:val="Wyrnienieintensywne"/>
          <w:b/>
        </w:rPr>
        <w:t xml:space="preserve">Pytania dotyczące naboru nr POWR.01.02.02-IP.22-32-002/15 na projekty realizowane </w:t>
      </w:r>
      <w:r w:rsidRPr="00FD32DC">
        <w:rPr>
          <w:rStyle w:val="Wyrnienieintensywne"/>
          <w:b/>
        </w:rPr>
        <w:br/>
        <w:t xml:space="preserve">w ramach Osi Priorytetowej I Osoby młode na rynku pracy, </w:t>
      </w:r>
      <w:r w:rsidRPr="00FD32DC">
        <w:rPr>
          <w:rStyle w:val="Wyrnienieintensywne"/>
          <w:b/>
        </w:rPr>
        <w:br/>
        <w:t>Poddziałania 1.2.2 Wsparcie udzielane z Inicjatywy na rzecz zatrudnienia ludzi młodych</w:t>
      </w:r>
    </w:p>
    <w:p w:rsidR="00EA7C44" w:rsidRDefault="00EA7C44" w:rsidP="00EA7C44">
      <w:pPr>
        <w:pStyle w:val="Cytatintensywny"/>
      </w:pPr>
      <w:r>
        <w:t>Wnioskodawca, Partner</w:t>
      </w:r>
    </w:p>
    <w:p w:rsidR="00EA7C44" w:rsidRPr="00EA7C44" w:rsidRDefault="00EA7C44" w:rsidP="00FD32DC">
      <w:pPr>
        <w:pStyle w:val="Default"/>
        <w:spacing w:line="276" w:lineRule="auto"/>
        <w:jc w:val="both"/>
        <w:rPr>
          <w:rFonts w:asciiTheme="minorHAnsi" w:hAnsiTheme="minorHAnsi" w:cs="Calibri"/>
          <w:sz w:val="22"/>
          <w:szCs w:val="22"/>
        </w:rPr>
      </w:pPr>
      <w:r w:rsidRPr="00EA7C44">
        <w:rPr>
          <w:rFonts w:asciiTheme="minorHAnsi" w:hAnsiTheme="minorHAnsi" w:cs="Calibri"/>
          <w:b/>
          <w:bCs/>
          <w:sz w:val="22"/>
          <w:szCs w:val="22"/>
        </w:rPr>
        <w:t xml:space="preserve">Czy uczelnia wyższa może składać wnioski w ramach ogłoszonego naboru z PO WER Poddziałanie 1.2.2 ? </w:t>
      </w:r>
    </w:p>
    <w:p w:rsidR="00EA7C44" w:rsidRPr="00EA7C44" w:rsidRDefault="00EA7C44" w:rsidP="00FD32DC">
      <w:pPr>
        <w:pStyle w:val="Default"/>
        <w:spacing w:line="276" w:lineRule="auto"/>
        <w:jc w:val="both"/>
        <w:rPr>
          <w:rFonts w:asciiTheme="minorHAnsi" w:hAnsiTheme="minorHAnsi" w:cs="Calibri"/>
          <w:sz w:val="22"/>
          <w:szCs w:val="22"/>
        </w:rPr>
      </w:pPr>
    </w:p>
    <w:p w:rsidR="00EA7C44" w:rsidRPr="00EA7C44" w:rsidRDefault="0098222B" w:rsidP="00FD32DC">
      <w:pPr>
        <w:pStyle w:val="Default"/>
        <w:spacing w:line="276" w:lineRule="auto"/>
        <w:jc w:val="both"/>
        <w:rPr>
          <w:rFonts w:asciiTheme="minorHAnsi" w:hAnsiTheme="minorHAnsi" w:cs="Calibri"/>
          <w:sz w:val="22"/>
          <w:szCs w:val="22"/>
        </w:rPr>
      </w:pPr>
      <w:r>
        <w:rPr>
          <w:rFonts w:asciiTheme="minorHAnsi" w:hAnsiTheme="minorHAnsi" w:cs="Calibri"/>
          <w:i/>
          <w:iCs/>
          <w:sz w:val="22"/>
          <w:szCs w:val="22"/>
        </w:rPr>
        <w:t>Regulamin k</w:t>
      </w:r>
      <w:r w:rsidR="00EA7C44" w:rsidRPr="00EA7C44">
        <w:rPr>
          <w:rFonts w:asciiTheme="minorHAnsi" w:hAnsiTheme="minorHAnsi" w:cs="Calibri"/>
          <w:i/>
          <w:iCs/>
          <w:sz w:val="22"/>
          <w:szCs w:val="22"/>
        </w:rPr>
        <w:t xml:space="preserve">onkursu wskazuje, że o dofinansowanie projektu mogą ubiegać się instytucje rynku pracy (wskazane w art. 6 ustawy o promocji zatrudnienia i instytucjach rynku pracy), tj.: </w:t>
      </w:r>
    </w:p>
    <w:p w:rsidR="00EA7C44" w:rsidRPr="00EA7C44" w:rsidRDefault="00EA7C44" w:rsidP="00FD32DC">
      <w:pPr>
        <w:pStyle w:val="Default"/>
        <w:numPr>
          <w:ilvl w:val="0"/>
          <w:numId w:val="2"/>
        </w:numPr>
        <w:spacing w:line="276" w:lineRule="auto"/>
        <w:jc w:val="both"/>
        <w:rPr>
          <w:rFonts w:asciiTheme="minorHAnsi" w:hAnsiTheme="minorHAnsi" w:cs="Calibri"/>
          <w:sz w:val="22"/>
          <w:szCs w:val="22"/>
        </w:rPr>
      </w:pPr>
      <w:r w:rsidRPr="00EA7C44">
        <w:rPr>
          <w:rFonts w:asciiTheme="minorHAnsi" w:hAnsiTheme="minorHAnsi" w:cs="Calibri"/>
          <w:i/>
          <w:iCs/>
          <w:sz w:val="22"/>
          <w:szCs w:val="22"/>
        </w:rPr>
        <w:t xml:space="preserve">publiczne służby zatrudnienia; </w:t>
      </w:r>
    </w:p>
    <w:p w:rsidR="00EA7C44" w:rsidRPr="00EA7C44" w:rsidRDefault="00EA7C44" w:rsidP="00FD32DC">
      <w:pPr>
        <w:pStyle w:val="Default"/>
        <w:numPr>
          <w:ilvl w:val="0"/>
          <w:numId w:val="2"/>
        </w:numPr>
        <w:spacing w:line="276" w:lineRule="auto"/>
        <w:jc w:val="both"/>
        <w:rPr>
          <w:rFonts w:asciiTheme="minorHAnsi" w:hAnsiTheme="minorHAnsi" w:cs="Calibri"/>
          <w:sz w:val="22"/>
          <w:szCs w:val="22"/>
        </w:rPr>
      </w:pPr>
      <w:r w:rsidRPr="00EA7C44">
        <w:rPr>
          <w:rFonts w:asciiTheme="minorHAnsi" w:hAnsiTheme="minorHAnsi" w:cs="Calibri"/>
          <w:i/>
          <w:iCs/>
          <w:sz w:val="22"/>
          <w:szCs w:val="22"/>
        </w:rPr>
        <w:t xml:space="preserve">Ochotnicze Hufce Pracy; </w:t>
      </w:r>
    </w:p>
    <w:p w:rsidR="00EA7C44" w:rsidRPr="00EA7C44" w:rsidRDefault="00EA7C44" w:rsidP="00FD32DC">
      <w:pPr>
        <w:pStyle w:val="Default"/>
        <w:numPr>
          <w:ilvl w:val="0"/>
          <w:numId w:val="2"/>
        </w:numPr>
        <w:spacing w:line="276" w:lineRule="auto"/>
        <w:jc w:val="both"/>
        <w:rPr>
          <w:rFonts w:asciiTheme="minorHAnsi" w:hAnsiTheme="minorHAnsi" w:cs="Calibri"/>
          <w:sz w:val="22"/>
          <w:szCs w:val="22"/>
        </w:rPr>
      </w:pPr>
      <w:r w:rsidRPr="00EA7C44">
        <w:rPr>
          <w:rFonts w:asciiTheme="minorHAnsi" w:hAnsiTheme="minorHAnsi" w:cs="Calibri"/>
          <w:i/>
          <w:iCs/>
          <w:sz w:val="22"/>
          <w:szCs w:val="22"/>
        </w:rPr>
        <w:t xml:space="preserve">agencje zatrudnienia; </w:t>
      </w:r>
    </w:p>
    <w:p w:rsidR="00EA7C44" w:rsidRPr="00EA7C44" w:rsidRDefault="00EA7C44" w:rsidP="00FD32DC">
      <w:pPr>
        <w:pStyle w:val="Default"/>
        <w:numPr>
          <w:ilvl w:val="0"/>
          <w:numId w:val="2"/>
        </w:numPr>
        <w:spacing w:line="276" w:lineRule="auto"/>
        <w:jc w:val="both"/>
        <w:rPr>
          <w:rFonts w:asciiTheme="minorHAnsi" w:hAnsiTheme="minorHAnsi" w:cs="Calibri"/>
          <w:sz w:val="22"/>
          <w:szCs w:val="22"/>
        </w:rPr>
      </w:pPr>
      <w:r w:rsidRPr="00EA7C44">
        <w:rPr>
          <w:rFonts w:asciiTheme="minorHAnsi" w:hAnsiTheme="minorHAnsi" w:cs="Calibri"/>
          <w:i/>
          <w:iCs/>
          <w:sz w:val="22"/>
          <w:szCs w:val="22"/>
        </w:rPr>
        <w:t xml:space="preserve">instytucje szkoleniowe; </w:t>
      </w:r>
    </w:p>
    <w:p w:rsidR="00EA7C44" w:rsidRPr="00EA7C44" w:rsidRDefault="00EA7C44" w:rsidP="00FD32DC">
      <w:pPr>
        <w:pStyle w:val="Default"/>
        <w:numPr>
          <w:ilvl w:val="0"/>
          <w:numId w:val="2"/>
        </w:numPr>
        <w:spacing w:line="276" w:lineRule="auto"/>
        <w:jc w:val="both"/>
        <w:rPr>
          <w:rFonts w:asciiTheme="minorHAnsi" w:hAnsiTheme="minorHAnsi" w:cs="Calibri"/>
          <w:sz w:val="22"/>
          <w:szCs w:val="22"/>
        </w:rPr>
      </w:pPr>
      <w:r w:rsidRPr="00EA7C44">
        <w:rPr>
          <w:rFonts w:asciiTheme="minorHAnsi" w:hAnsiTheme="minorHAnsi" w:cs="Calibri"/>
          <w:i/>
          <w:iCs/>
          <w:sz w:val="22"/>
          <w:szCs w:val="22"/>
        </w:rPr>
        <w:t xml:space="preserve">instytucje dialogu społecznego; </w:t>
      </w:r>
    </w:p>
    <w:p w:rsidR="00EA7C44" w:rsidRPr="00EA7C44" w:rsidRDefault="00EA7C44" w:rsidP="00FD32DC">
      <w:pPr>
        <w:pStyle w:val="Default"/>
        <w:numPr>
          <w:ilvl w:val="0"/>
          <w:numId w:val="2"/>
        </w:numPr>
        <w:spacing w:line="276" w:lineRule="auto"/>
        <w:jc w:val="both"/>
        <w:rPr>
          <w:rFonts w:asciiTheme="minorHAnsi" w:hAnsiTheme="minorHAnsi" w:cs="Calibri"/>
          <w:sz w:val="22"/>
          <w:szCs w:val="22"/>
        </w:rPr>
      </w:pPr>
      <w:r w:rsidRPr="00EA7C44">
        <w:rPr>
          <w:rFonts w:asciiTheme="minorHAnsi" w:hAnsiTheme="minorHAnsi" w:cs="Calibri"/>
          <w:i/>
          <w:iCs/>
          <w:sz w:val="22"/>
          <w:szCs w:val="22"/>
        </w:rPr>
        <w:t xml:space="preserve">instytucje partnerstwa lokalnego. </w:t>
      </w:r>
    </w:p>
    <w:p w:rsidR="00EA7C44" w:rsidRPr="00EA7C44" w:rsidRDefault="00EA7C44" w:rsidP="00FD32DC">
      <w:pPr>
        <w:pStyle w:val="Default"/>
        <w:spacing w:line="276" w:lineRule="auto"/>
        <w:jc w:val="both"/>
        <w:rPr>
          <w:rFonts w:asciiTheme="minorHAnsi" w:hAnsiTheme="minorHAnsi" w:cs="Calibri"/>
          <w:sz w:val="22"/>
          <w:szCs w:val="22"/>
        </w:rPr>
      </w:pPr>
    </w:p>
    <w:p w:rsidR="003D0559" w:rsidRDefault="00EA7C44" w:rsidP="00FD32DC">
      <w:pPr>
        <w:pStyle w:val="Default"/>
        <w:spacing w:line="276" w:lineRule="auto"/>
        <w:jc w:val="both"/>
        <w:rPr>
          <w:rFonts w:asciiTheme="minorHAnsi" w:hAnsiTheme="minorHAnsi" w:cs="Calibri"/>
          <w:i/>
          <w:iCs/>
          <w:sz w:val="22"/>
          <w:szCs w:val="22"/>
        </w:rPr>
      </w:pPr>
      <w:r w:rsidRPr="00EA7C44">
        <w:rPr>
          <w:rFonts w:asciiTheme="minorHAnsi" w:hAnsiTheme="minorHAnsi" w:cs="Calibri"/>
          <w:i/>
          <w:iCs/>
          <w:sz w:val="22"/>
          <w:szCs w:val="22"/>
        </w:rPr>
        <w:t xml:space="preserve">Wnioskodawca powinien zweryfikować, czy z uwagi na swoją specyfikę instytucjonalną i zakres prowadzonej działalności zalicza się do jednej z ww. kategorii podmiotów. </w:t>
      </w:r>
    </w:p>
    <w:p w:rsidR="00EA7C44" w:rsidRPr="00EA7C44" w:rsidRDefault="00B279C1" w:rsidP="00FD32DC">
      <w:pPr>
        <w:pStyle w:val="Default"/>
        <w:spacing w:line="276" w:lineRule="auto"/>
        <w:jc w:val="both"/>
        <w:rPr>
          <w:rFonts w:asciiTheme="minorHAnsi" w:hAnsiTheme="minorHAnsi" w:cs="Calibri"/>
          <w:i/>
          <w:iCs/>
          <w:sz w:val="22"/>
          <w:szCs w:val="22"/>
        </w:rPr>
      </w:pPr>
      <w:r>
        <w:rPr>
          <w:rFonts w:asciiTheme="minorHAnsi" w:hAnsiTheme="minorHAnsi" w:cs="Calibri"/>
          <w:i/>
          <w:iCs/>
          <w:sz w:val="22"/>
          <w:szCs w:val="22"/>
        </w:rPr>
        <w:pict>
          <v:rect id="_x0000_i1025" style="width:0;height:1.5pt" o:hralign="center" o:hrstd="t" o:hr="t" fillcolor="#a0a0a0" stroked="f"/>
        </w:pict>
      </w:r>
    </w:p>
    <w:p w:rsidR="00EA7C44" w:rsidRDefault="00EA7C44" w:rsidP="00FD32DC">
      <w:pPr>
        <w:pStyle w:val="Default"/>
        <w:spacing w:line="276" w:lineRule="auto"/>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Czy partner musi być instytucją rynku pracy zgodnie z art.</w:t>
      </w:r>
      <w:r w:rsidR="0098222B">
        <w:rPr>
          <w:rFonts w:ascii="Calibri" w:hAnsi="Calibri" w:cs="Calibri"/>
          <w:b/>
          <w:bCs/>
          <w:sz w:val="22"/>
          <w:szCs w:val="22"/>
        </w:rPr>
        <w:t xml:space="preserve"> </w:t>
      </w:r>
      <w:r>
        <w:rPr>
          <w:rFonts w:ascii="Calibri" w:hAnsi="Calibri" w:cs="Calibri"/>
          <w:b/>
          <w:bCs/>
          <w:sz w:val="22"/>
          <w:szCs w:val="22"/>
        </w:rPr>
        <w:t xml:space="preserve">6 Ustawy o promocji zatrudnienia </w:t>
      </w:r>
      <w:r>
        <w:rPr>
          <w:rFonts w:ascii="Calibri" w:hAnsi="Calibri" w:cs="Calibri"/>
          <w:b/>
          <w:bCs/>
          <w:sz w:val="22"/>
          <w:szCs w:val="22"/>
        </w:rPr>
        <w:br/>
        <w:t xml:space="preserve">i instytucjach rynku pracy?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Partner nie musi być instytucją rynku pracy zgodnie z art.6 Ustawy o promocji zatrudnienia </w:t>
      </w:r>
      <w:r>
        <w:rPr>
          <w:rFonts w:ascii="Calibri" w:hAnsi="Calibri" w:cs="Calibri"/>
          <w:i/>
          <w:iCs/>
          <w:sz w:val="22"/>
          <w:szCs w:val="22"/>
        </w:rPr>
        <w:br/>
        <w:t xml:space="preserve">i instytucjach rynku pracy. </w:t>
      </w:r>
    </w:p>
    <w:p w:rsidR="00EA7C44" w:rsidRPr="00F837E2" w:rsidRDefault="00EA7C44" w:rsidP="00EA7C44">
      <w:pPr>
        <w:pStyle w:val="Cytatintensywny"/>
      </w:pPr>
      <w:r>
        <w:t>Grupa docelowa</w:t>
      </w: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istnieje możliwość zawężenia i skierowania projektu do konkretnych osób? Czy mogą być jakieś ramy?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Tak, ale zawężenie grupy docelowej musi być zgodne z obowiązującymi w naborze kryteriami dostępu. Ponadto, jeżeli projektodawca planuje spełnić I kryterium premiujące powinien skierować wsparcie do osób z dwóch lub kilku następujących grup: kobiet samotnie wychowujących dzieci, osób o niskich kwalifikacjach, osób z terenów wiejskich, osób niepełnosprawnych.</w:t>
      </w:r>
    </w:p>
    <w:p w:rsidR="003D0559" w:rsidRDefault="003D0559" w:rsidP="003D0559">
      <w:pPr>
        <w:pStyle w:val="Default"/>
        <w:pBdr>
          <w:bottom w:val="single" w:sz="4" w:space="1" w:color="auto"/>
        </w:pBdr>
        <w:spacing w:line="276" w:lineRule="auto"/>
        <w:jc w:val="both"/>
        <w:rPr>
          <w:rFonts w:ascii="Calibri" w:hAnsi="Calibri" w:cs="Calibri"/>
          <w:i/>
          <w:iCs/>
          <w:sz w:val="22"/>
          <w:szCs w:val="22"/>
        </w:rPr>
      </w:pPr>
    </w:p>
    <w:p w:rsidR="00EA7C44" w:rsidRDefault="00EA7C44" w:rsidP="00FD32DC">
      <w:pPr>
        <w:pStyle w:val="Default"/>
        <w:spacing w:line="276" w:lineRule="auto"/>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Czy grupa docelowa</w:t>
      </w:r>
      <w:r w:rsidR="0098222B">
        <w:rPr>
          <w:rFonts w:ascii="Calibri" w:hAnsi="Calibri" w:cs="Calibri"/>
          <w:b/>
          <w:bCs/>
          <w:sz w:val="22"/>
          <w:szCs w:val="22"/>
        </w:rPr>
        <w:t xml:space="preserve"> projektu może obejmować osoby w wieku</w:t>
      </w:r>
      <w:r>
        <w:rPr>
          <w:rFonts w:ascii="Calibri" w:hAnsi="Calibri" w:cs="Calibri"/>
          <w:b/>
          <w:bCs/>
          <w:sz w:val="22"/>
          <w:szCs w:val="22"/>
        </w:rPr>
        <w:t xml:space="preserve"> 18-29 roku życia, czy niezbędne jest by obejmowała osoby od 15 roku życia?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Grupa docelowa danego projektu może obejmować osoby od 18 do 29 roku życia. </w:t>
      </w:r>
    </w:p>
    <w:p w:rsidR="00EA7C44" w:rsidRDefault="00EA7C44" w:rsidP="003D0559">
      <w:pPr>
        <w:pStyle w:val="Default"/>
        <w:pBdr>
          <w:bottom w:val="single" w:sz="4" w:space="1" w:color="auto"/>
        </w:pBdr>
        <w:spacing w:line="276" w:lineRule="auto"/>
        <w:rPr>
          <w:rFonts w:ascii="Calibri" w:hAnsi="Calibri" w:cs="Calibri"/>
          <w:sz w:val="22"/>
          <w:szCs w:val="22"/>
        </w:rPr>
      </w:pPr>
    </w:p>
    <w:p w:rsidR="003D0559" w:rsidRDefault="003D0559" w:rsidP="00FD32DC">
      <w:pPr>
        <w:pStyle w:val="Default"/>
        <w:spacing w:line="276" w:lineRule="auto"/>
        <w:rPr>
          <w:rFonts w:ascii="Calibri" w:hAnsi="Calibri" w:cs="Calibri"/>
          <w:b/>
          <w:bCs/>
          <w:sz w:val="22"/>
          <w:szCs w:val="22"/>
        </w:rPr>
      </w:pPr>
    </w:p>
    <w:p w:rsidR="00EA7C44" w:rsidRDefault="00EA7C44" w:rsidP="00FD32DC">
      <w:pPr>
        <w:pStyle w:val="Default"/>
        <w:spacing w:line="276" w:lineRule="auto"/>
        <w:rPr>
          <w:rFonts w:ascii="Calibri" w:hAnsi="Calibri" w:cs="Calibri"/>
          <w:sz w:val="22"/>
          <w:szCs w:val="22"/>
        </w:rPr>
      </w:pPr>
      <w:r>
        <w:rPr>
          <w:rFonts w:ascii="Calibri" w:hAnsi="Calibri" w:cs="Calibri"/>
          <w:b/>
          <w:bCs/>
          <w:sz w:val="22"/>
          <w:szCs w:val="22"/>
        </w:rPr>
        <w:t xml:space="preserve">Czy kwalifikowalność uczestnika weryfikowana jest tylko raz? </w:t>
      </w:r>
    </w:p>
    <w:p w:rsidR="00EA7C44" w:rsidRDefault="00EA7C44" w:rsidP="00FD32DC">
      <w:pPr>
        <w:pStyle w:val="Default"/>
        <w:spacing w:line="276" w:lineRule="auto"/>
        <w:rPr>
          <w:rFonts w:ascii="Calibri" w:hAnsi="Calibri" w:cs="Calibri"/>
          <w:sz w:val="22"/>
          <w:szCs w:val="22"/>
        </w:rPr>
      </w:pPr>
    </w:p>
    <w:p w:rsidR="00EA7C44" w:rsidRDefault="00EA7C44" w:rsidP="00FD32DC">
      <w:pPr>
        <w:pStyle w:val="Default"/>
        <w:spacing w:line="276" w:lineRule="auto"/>
        <w:rPr>
          <w:rFonts w:ascii="Calibri" w:hAnsi="Calibri" w:cs="Calibri"/>
          <w:sz w:val="22"/>
          <w:szCs w:val="22"/>
        </w:rPr>
      </w:pPr>
      <w:r>
        <w:rPr>
          <w:rFonts w:ascii="Calibri" w:hAnsi="Calibri" w:cs="Calibri"/>
          <w:i/>
          <w:iCs/>
          <w:sz w:val="22"/>
          <w:szCs w:val="22"/>
        </w:rPr>
        <w:t xml:space="preserve">Tak, w momencie przystąpienia do projektu. </w:t>
      </w:r>
    </w:p>
    <w:p w:rsidR="00EA7C44" w:rsidRDefault="00EA7C44" w:rsidP="003D0559">
      <w:pPr>
        <w:pStyle w:val="Default"/>
        <w:pBdr>
          <w:bottom w:val="single" w:sz="4" w:space="1" w:color="auto"/>
        </w:pBdr>
        <w:spacing w:line="276" w:lineRule="auto"/>
        <w:rPr>
          <w:rFonts w:ascii="Calibri" w:hAnsi="Calibri" w:cs="Calibri"/>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Jak należy rozumieć określenie „właściwy organ uprawniony do formalnego potwierdzenia uzyskania kwalifikacji”? </w:t>
      </w:r>
    </w:p>
    <w:p w:rsidR="00EA7C44" w:rsidRDefault="00EA7C44" w:rsidP="00FD32DC">
      <w:pPr>
        <w:pStyle w:val="Default"/>
        <w:spacing w:line="276" w:lineRule="auto"/>
        <w:jc w:val="both"/>
        <w:rPr>
          <w:rFonts w:ascii="Calibri" w:hAnsi="Calibri" w:cs="Calibri"/>
          <w:sz w:val="22"/>
          <w:szCs w:val="22"/>
        </w:rPr>
      </w:pPr>
    </w:p>
    <w:p w:rsidR="00EA7C44" w:rsidRPr="00761349" w:rsidRDefault="00EA7C44" w:rsidP="00FD32DC">
      <w:pPr>
        <w:pStyle w:val="Default"/>
        <w:spacing w:line="276" w:lineRule="auto"/>
        <w:jc w:val="both"/>
        <w:rPr>
          <w:rFonts w:ascii="Calibri" w:hAnsi="Calibri" w:cs="Calibri"/>
          <w:i/>
          <w:iCs/>
          <w:sz w:val="22"/>
          <w:szCs w:val="22"/>
        </w:rPr>
      </w:pPr>
      <w:r w:rsidRPr="00761349">
        <w:rPr>
          <w:rFonts w:ascii="Calibri" w:hAnsi="Calibri" w:cs="Calibri"/>
          <w:i/>
          <w:iCs/>
          <w:sz w:val="22"/>
          <w:szCs w:val="22"/>
        </w:rPr>
        <w:t xml:space="preserve">Poprzez </w:t>
      </w:r>
      <w:r w:rsidRPr="00761349">
        <w:rPr>
          <w:rFonts w:ascii="Calibri" w:hAnsi="Calibri" w:cs="Calibri"/>
          <w:bCs/>
          <w:i/>
          <w:sz w:val="22"/>
          <w:szCs w:val="22"/>
        </w:rPr>
        <w:t>właściwy organ uprawniony do formalnego potwierdzenia uzyskania kwalifikacji należy rozumieć instytucje zapewniające odpowiedni proces walidacji oraz cert</w:t>
      </w:r>
      <w:r>
        <w:rPr>
          <w:rFonts w:ascii="Calibri" w:hAnsi="Calibri" w:cs="Calibri"/>
          <w:bCs/>
          <w:i/>
          <w:sz w:val="22"/>
          <w:szCs w:val="22"/>
        </w:rPr>
        <w:t>y</w:t>
      </w:r>
      <w:r w:rsidRPr="00761349">
        <w:rPr>
          <w:rFonts w:ascii="Calibri" w:hAnsi="Calibri" w:cs="Calibri"/>
          <w:bCs/>
          <w:i/>
          <w:sz w:val="22"/>
          <w:szCs w:val="22"/>
        </w:rPr>
        <w:t xml:space="preserve">fikowania uzyskiwania kwalifikacji. Przykładami instytucji certyfikujących są: uczelnie, okręgowe komisje organizacyjne, instytucje szkoleniowe, stowarzyszenia zawodowe, organy  administracji publicznej lub instytucje przeprowadzające egzaminy (np. językowe, finansowe, komputerowe) w oparciu </w:t>
      </w:r>
      <w:r>
        <w:rPr>
          <w:rFonts w:ascii="Calibri" w:hAnsi="Calibri" w:cs="Calibri"/>
          <w:bCs/>
          <w:i/>
          <w:sz w:val="22"/>
          <w:szCs w:val="22"/>
        </w:rPr>
        <w:br/>
      </w:r>
      <w:r w:rsidRPr="00761349">
        <w:rPr>
          <w:rFonts w:ascii="Calibri" w:hAnsi="Calibri" w:cs="Calibri"/>
          <w:bCs/>
          <w:i/>
          <w:sz w:val="22"/>
          <w:szCs w:val="22"/>
        </w:rPr>
        <w:t xml:space="preserve">o międzynarodowe standardy egzaminacyjne. Certyfikaty i inne dokumenty potwierdzające uzyskanie kwalifikacji powinny być rozpoznawalne i uznawane w danym środowisku, sektorze lub branży. </w:t>
      </w:r>
    </w:p>
    <w:p w:rsidR="00EA7C44" w:rsidRDefault="00EA7C44" w:rsidP="003D0559">
      <w:pPr>
        <w:pStyle w:val="Default"/>
        <w:pBdr>
          <w:bottom w:val="single" w:sz="4" w:space="1" w:color="auto"/>
        </w:pBdr>
        <w:spacing w:line="276" w:lineRule="auto"/>
        <w:rPr>
          <w:rFonts w:ascii="Calibri" w:hAnsi="Calibri" w:cs="Calibri"/>
          <w:i/>
          <w:iCs/>
          <w:sz w:val="22"/>
          <w:szCs w:val="22"/>
        </w:rPr>
      </w:pPr>
    </w:p>
    <w:p w:rsidR="00EA7C44" w:rsidRDefault="00EA7C44" w:rsidP="00FD32DC">
      <w:pPr>
        <w:pStyle w:val="Default"/>
        <w:spacing w:line="276" w:lineRule="auto"/>
        <w:rPr>
          <w:rFonts w:ascii="Calibri" w:hAnsi="Calibri" w:cs="Calibri"/>
          <w:sz w:val="22"/>
          <w:szCs w:val="22"/>
        </w:rPr>
      </w:pPr>
    </w:p>
    <w:p w:rsidR="00EA7C44" w:rsidRPr="00EA7C44" w:rsidRDefault="00EA7C44" w:rsidP="00FD32DC">
      <w:pPr>
        <w:pStyle w:val="Default"/>
        <w:spacing w:line="276" w:lineRule="auto"/>
        <w:jc w:val="both"/>
        <w:rPr>
          <w:rFonts w:ascii="Calibri" w:hAnsi="Calibri" w:cs="Calibri"/>
          <w:sz w:val="22"/>
          <w:szCs w:val="22"/>
        </w:rPr>
      </w:pPr>
      <w:r w:rsidRPr="00EA7C44">
        <w:rPr>
          <w:rFonts w:ascii="Calibri" w:hAnsi="Calibri" w:cs="Calibri"/>
          <w:b/>
          <w:bCs/>
          <w:iCs/>
          <w:sz w:val="22"/>
          <w:szCs w:val="22"/>
        </w:rPr>
        <w:t xml:space="preserve">W jaki sposób Beneficjent zweryfikuje czy dana osoba nie pracuje i nie poszukuje pracy?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b/>
          <w:bCs/>
          <w:i/>
          <w:iCs/>
          <w:sz w:val="22"/>
          <w:szCs w:val="22"/>
        </w:rPr>
      </w:pPr>
      <w:r>
        <w:rPr>
          <w:rFonts w:ascii="Calibri" w:hAnsi="Calibri" w:cs="Calibri"/>
          <w:i/>
          <w:iCs/>
          <w:sz w:val="22"/>
          <w:szCs w:val="22"/>
        </w:rPr>
        <w:t>Na podstawie zaświadczeń lub oświadczeń składanych przez uczestnika projektu</w:t>
      </w:r>
      <w:r>
        <w:rPr>
          <w:rFonts w:ascii="Calibri" w:hAnsi="Calibri" w:cs="Calibri"/>
          <w:b/>
          <w:bCs/>
          <w:i/>
          <w:iCs/>
          <w:sz w:val="22"/>
          <w:szCs w:val="22"/>
        </w:rPr>
        <w:t xml:space="preserve">. </w:t>
      </w:r>
    </w:p>
    <w:p w:rsidR="00EA7C44" w:rsidRDefault="00EA7C44" w:rsidP="003D0559">
      <w:pPr>
        <w:pStyle w:val="Default"/>
        <w:pBdr>
          <w:bottom w:val="single" w:sz="4" w:space="1" w:color="auto"/>
        </w:pBdr>
        <w:spacing w:line="276" w:lineRule="auto"/>
        <w:jc w:val="both"/>
        <w:rPr>
          <w:rFonts w:ascii="Calibri" w:hAnsi="Calibri" w:cs="Calibri"/>
          <w:sz w:val="22"/>
          <w:szCs w:val="22"/>
        </w:rPr>
      </w:pPr>
    </w:p>
    <w:p w:rsidR="003D0559" w:rsidRDefault="003D0559" w:rsidP="00FD32DC">
      <w:pPr>
        <w:pStyle w:val="Default"/>
        <w:spacing w:line="276" w:lineRule="auto"/>
        <w:jc w:val="both"/>
        <w:rPr>
          <w:rFonts w:ascii="Calibri" w:hAnsi="Calibri" w:cs="Calibri"/>
          <w:b/>
          <w:bCs/>
          <w:iCs/>
          <w:sz w:val="22"/>
          <w:szCs w:val="22"/>
        </w:rPr>
      </w:pPr>
    </w:p>
    <w:p w:rsidR="00EA7C44" w:rsidRDefault="00EA7C44" w:rsidP="00FD32DC">
      <w:pPr>
        <w:pStyle w:val="Default"/>
        <w:spacing w:line="276" w:lineRule="auto"/>
        <w:jc w:val="both"/>
        <w:rPr>
          <w:rFonts w:ascii="Calibri" w:hAnsi="Calibri" w:cs="Calibri"/>
          <w:sz w:val="22"/>
          <w:szCs w:val="22"/>
        </w:rPr>
      </w:pPr>
      <w:r w:rsidRPr="00402054">
        <w:rPr>
          <w:rFonts w:ascii="Calibri" w:hAnsi="Calibri" w:cs="Calibri"/>
          <w:b/>
          <w:bCs/>
          <w:iCs/>
          <w:sz w:val="22"/>
          <w:szCs w:val="22"/>
        </w:rPr>
        <w:t>Jaka jest definicja</w:t>
      </w:r>
      <w:r>
        <w:rPr>
          <w:rFonts w:ascii="Calibri" w:hAnsi="Calibri" w:cs="Calibri"/>
          <w:b/>
          <w:bCs/>
          <w:i/>
          <w:iCs/>
          <w:sz w:val="22"/>
          <w:szCs w:val="22"/>
        </w:rPr>
        <w:t xml:space="preserve"> „osoby długotrwale bezrobotnej”?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sidRPr="00A53DCD">
        <w:rPr>
          <w:rFonts w:ascii="Calibri" w:hAnsi="Calibri" w:cs="Calibri"/>
          <w:bCs/>
          <w:i/>
          <w:iCs/>
          <w:sz w:val="22"/>
          <w:szCs w:val="22"/>
        </w:rPr>
        <w:t xml:space="preserve">Osoby długotrwale bezrobotne </w:t>
      </w:r>
      <w:r>
        <w:rPr>
          <w:rFonts w:ascii="Calibri" w:hAnsi="Calibri" w:cs="Calibri"/>
          <w:i/>
          <w:iCs/>
          <w:sz w:val="22"/>
          <w:szCs w:val="22"/>
        </w:rPr>
        <w:t xml:space="preserve">– definicja pojęcia „długotrwale bezrobotny" różni się </w:t>
      </w:r>
      <w:r>
        <w:rPr>
          <w:rFonts w:ascii="Calibri" w:hAnsi="Calibri" w:cs="Calibri"/>
          <w:i/>
          <w:iCs/>
          <w:sz w:val="22"/>
          <w:szCs w:val="22"/>
        </w:rPr>
        <w:br/>
        <w:t xml:space="preserve">w zależności od wieku: </w:t>
      </w: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 Młodzież(&lt;25 lat) – osoby bezrobotne nieprzerwanie przez okres ponad 6 miesięcy (&gt;6 miesięcy). </w:t>
      </w: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 Dorośli (25 lat lub więcej) – osoby bezrobotne nieprzerwanie przez okres ponad 12 miesięcy (&gt;12 miesięcy). </w:t>
      </w:r>
    </w:p>
    <w:p w:rsidR="003D0559" w:rsidRDefault="003D0559" w:rsidP="003D0559">
      <w:pPr>
        <w:pStyle w:val="Default"/>
        <w:pBdr>
          <w:bottom w:val="single" w:sz="4" w:space="1" w:color="auto"/>
        </w:pBdr>
        <w:spacing w:line="276" w:lineRule="auto"/>
        <w:jc w:val="both"/>
        <w:rPr>
          <w:rFonts w:ascii="Calibri" w:hAnsi="Calibri" w:cs="Calibri"/>
          <w:sz w:val="22"/>
          <w:szCs w:val="22"/>
        </w:rPr>
      </w:pPr>
    </w:p>
    <w:p w:rsidR="00EA7C44" w:rsidRDefault="00EA7C44" w:rsidP="00FD32DC">
      <w:pPr>
        <w:pStyle w:val="Default"/>
        <w:spacing w:line="276" w:lineRule="auto"/>
        <w:rPr>
          <w:rFonts w:ascii="Calibri" w:hAnsi="Calibri" w:cs="Calibri"/>
          <w:b/>
          <w:bCs/>
          <w:i/>
          <w:iCs/>
          <w:sz w:val="22"/>
          <w:szCs w:val="22"/>
        </w:rPr>
      </w:pPr>
    </w:p>
    <w:p w:rsidR="00EA7C44" w:rsidRDefault="00EA7C44" w:rsidP="00FD32DC">
      <w:pPr>
        <w:spacing w:line="276" w:lineRule="auto"/>
        <w:ind w:firstLine="0"/>
        <w:rPr>
          <w:rFonts w:ascii="Calibri" w:hAnsi="Calibri"/>
          <w:b/>
        </w:rPr>
      </w:pPr>
      <w:r w:rsidRPr="00402054">
        <w:rPr>
          <w:rFonts w:ascii="Calibri" w:hAnsi="Calibri"/>
          <w:b/>
        </w:rPr>
        <w:t xml:space="preserve">Czy aby kryterium premiujące 1 zostało uznane za spełnione osoby ze wskazanych grup docelowych (dwóch lub kilku spośród: kobiet samotnie wychowujących dzieci; osób o niskich </w:t>
      </w:r>
      <w:r w:rsidRPr="00402054">
        <w:rPr>
          <w:rFonts w:ascii="Calibri" w:hAnsi="Calibri"/>
          <w:b/>
        </w:rPr>
        <w:lastRenderedPageBreak/>
        <w:t>kwalifikacjach; osób z terenów wiejskich; osób niepełnosprawnych) muszą stanowić 100% grupy docelowej? Czy kryterium będzie również spełnione, gdy osoby z ww. grup będą stanowiły tylko część uczestników, np. 50% grupy docelowej?</w:t>
      </w:r>
    </w:p>
    <w:p w:rsidR="00EA7C44" w:rsidRDefault="00EA7C44" w:rsidP="00FD32DC">
      <w:pPr>
        <w:spacing w:line="276" w:lineRule="auto"/>
        <w:ind w:firstLine="0"/>
        <w:rPr>
          <w:rFonts w:ascii="Calibri" w:hAnsi="Calibri"/>
          <w:b/>
        </w:rPr>
      </w:pPr>
    </w:p>
    <w:p w:rsidR="00EA7C44" w:rsidRPr="00402054" w:rsidRDefault="00EA7C44" w:rsidP="00FD32DC">
      <w:pPr>
        <w:spacing w:line="276" w:lineRule="auto"/>
        <w:ind w:firstLine="0"/>
        <w:rPr>
          <w:rFonts w:ascii="Calibri" w:hAnsi="Calibri"/>
          <w:i/>
        </w:rPr>
      </w:pPr>
      <w:r w:rsidRPr="00402054">
        <w:rPr>
          <w:rFonts w:ascii="Calibri" w:hAnsi="Calibri"/>
          <w:i/>
        </w:rPr>
        <w:t xml:space="preserve">Aby kryterium premiujące zostało spełnione, osoby z poszczególnych wskazanych grup docelowych </w:t>
      </w:r>
      <w:r w:rsidRPr="00402054">
        <w:rPr>
          <w:rFonts w:ascii="Calibri" w:hAnsi="Calibri"/>
          <w:bCs/>
          <w:i/>
        </w:rPr>
        <w:t>łącznie muszą stanowić 100% grupy objętej wsparciem</w:t>
      </w:r>
      <w:r w:rsidRPr="00402054">
        <w:rPr>
          <w:rFonts w:ascii="Calibri" w:hAnsi="Calibri"/>
          <w:b/>
          <w:bCs/>
          <w:i/>
        </w:rPr>
        <w:t xml:space="preserve"> </w:t>
      </w:r>
      <w:r w:rsidRPr="00402054">
        <w:rPr>
          <w:rFonts w:ascii="Calibri" w:hAnsi="Calibri"/>
          <w:i/>
        </w:rPr>
        <w:t>(np. 50% kobiet samotnie wychowujących dzieci oraz 50% osób niepełnosprawnych).</w:t>
      </w:r>
    </w:p>
    <w:p w:rsidR="00EA7C44" w:rsidRDefault="00EA7C44" w:rsidP="00EA7C44">
      <w:pPr>
        <w:pStyle w:val="Default"/>
        <w:rPr>
          <w:rFonts w:ascii="Calibri" w:hAnsi="Calibri" w:cs="Calibri"/>
          <w:b/>
          <w:bCs/>
          <w:i/>
          <w:iCs/>
          <w:sz w:val="22"/>
          <w:szCs w:val="22"/>
        </w:rPr>
      </w:pPr>
    </w:p>
    <w:p w:rsidR="00EA7C44" w:rsidRDefault="00EA7C44" w:rsidP="00FD32DC">
      <w:pPr>
        <w:pStyle w:val="Cytatintensywny"/>
        <w:spacing w:line="276" w:lineRule="auto"/>
      </w:pPr>
      <w:r>
        <w:t>Wskaźniki/efektywność</w:t>
      </w: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Jeżeli uczestnik przerwie udział w projekcie z ra</w:t>
      </w:r>
      <w:r w:rsidR="002F5010">
        <w:rPr>
          <w:rFonts w:ascii="Calibri" w:hAnsi="Calibri" w:cs="Calibri"/>
          <w:b/>
          <w:bCs/>
          <w:sz w:val="22"/>
          <w:szCs w:val="22"/>
        </w:rPr>
        <w:t>cji otrzymania pracy, czy jest t</w:t>
      </w:r>
      <w:r>
        <w:rPr>
          <w:rFonts w:ascii="Calibri" w:hAnsi="Calibri" w:cs="Calibri"/>
          <w:b/>
          <w:bCs/>
          <w:sz w:val="22"/>
          <w:szCs w:val="22"/>
        </w:rPr>
        <w:t xml:space="preserve">o wliczane </w:t>
      </w:r>
      <w:r>
        <w:rPr>
          <w:rFonts w:ascii="Calibri" w:hAnsi="Calibri" w:cs="Calibri"/>
          <w:b/>
          <w:bCs/>
          <w:sz w:val="22"/>
          <w:szCs w:val="22"/>
        </w:rPr>
        <w:br/>
        <w:t xml:space="preserve">do wskaźnika efektywności zatrudnieniowej? </w:t>
      </w:r>
    </w:p>
    <w:p w:rsidR="00EA7C44" w:rsidRDefault="00EA7C44" w:rsidP="00FD32DC">
      <w:pPr>
        <w:pStyle w:val="Default"/>
        <w:spacing w:line="276" w:lineRule="auto"/>
        <w:jc w:val="both"/>
        <w:rPr>
          <w:rFonts w:ascii="Calibri" w:hAnsi="Calibri" w:cs="Calibri"/>
          <w:sz w:val="22"/>
          <w:szCs w:val="22"/>
        </w:rPr>
      </w:pPr>
    </w:p>
    <w:p w:rsidR="00EA7C44" w:rsidRPr="00A53DCD"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Uczestnik, który przerwie udział w projekcie z uwagi na po</w:t>
      </w:r>
      <w:r w:rsidR="002F5010">
        <w:rPr>
          <w:rFonts w:ascii="Calibri" w:hAnsi="Calibri" w:cs="Calibri"/>
          <w:i/>
          <w:iCs/>
          <w:sz w:val="22"/>
          <w:szCs w:val="22"/>
        </w:rPr>
        <w:t>d</w:t>
      </w:r>
      <w:r>
        <w:rPr>
          <w:rFonts w:ascii="Calibri" w:hAnsi="Calibri" w:cs="Calibri"/>
          <w:i/>
          <w:iCs/>
          <w:sz w:val="22"/>
          <w:szCs w:val="22"/>
        </w:rPr>
        <w:t>jęcie pracy będzie mógł zostać wliczony do wskaźnik</w:t>
      </w:r>
      <w:r w:rsidR="002F5010">
        <w:rPr>
          <w:rFonts w:ascii="Calibri" w:hAnsi="Calibri" w:cs="Calibri"/>
          <w:i/>
          <w:iCs/>
          <w:sz w:val="22"/>
          <w:szCs w:val="22"/>
        </w:rPr>
        <w:t>a</w:t>
      </w:r>
      <w:r>
        <w:rPr>
          <w:rFonts w:ascii="Calibri" w:hAnsi="Calibri" w:cs="Calibri"/>
          <w:i/>
          <w:iCs/>
          <w:sz w:val="22"/>
          <w:szCs w:val="22"/>
        </w:rPr>
        <w:t xml:space="preserve"> dotyczącego efektywności zatrudnieniowej pod warunkiem, że otrzymana oferta będzie spełniała warunki oferty zatrudnienia wymagane</w:t>
      </w:r>
      <w:r w:rsidR="002F5010">
        <w:rPr>
          <w:rFonts w:ascii="Calibri" w:hAnsi="Calibri" w:cs="Calibri"/>
          <w:i/>
          <w:iCs/>
          <w:sz w:val="22"/>
          <w:szCs w:val="22"/>
        </w:rPr>
        <w:t>go</w:t>
      </w:r>
      <w:r>
        <w:rPr>
          <w:rFonts w:ascii="Calibri" w:hAnsi="Calibri" w:cs="Calibri"/>
          <w:i/>
          <w:iCs/>
          <w:sz w:val="22"/>
          <w:szCs w:val="22"/>
        </w:rPr>
        <w:t xml:space="preserve"> przy wskaźniku efektywności zatrudnieniowej (tj. Umowa o pracę na okres co najmniej trzech miesięcy, przynajmniej na 1/2 etatu; umowa cywilnoprawna na minimum trzy pełne miesiące z wartość umowy równą lub wyższą trzykrotn</w:t>
      </w:r>
      <w:bookmarkStart w:id="0" w:name="_GoBack"/>
      <w:bookmarkEnd w:id="0"/>
      <w:r>
        <w:rPr>
          <w:rFonts w:ascii="Calibri" w:hAnsi="Calibri" w:cs="Calibri"/>
          <w:i/>
          <w:iCs/>
          <w:sz w:val="22"/>
          <w:szCs w:val="22"/>
        </w:rPr>
        <w:t>ości minimalnego wynagrodzenia, umowa o dzieło z wartością umowy równą lub wyższą trzykrotności minimalnego wynagrodzenia; po</w:t>
      </w:r>
      <w:r w:rsidR="002F5010">
        <w:rPr>
          <w:rFonts w:ascii="Calibri" w:hAnsi="Calibri" w:cs="Calibri"/>
          <w:i/>
          <w:iCs/>
          <w:sz w:val="22"/>
          <w:szCs w:val="22"/>
        </w:rPr>
        <w:t>d</w:t>
      </w:r>
      <w:r>
        <w:rPr>
          <w:rFonts w:ascii="Calibri" w:hAnsi="Calibri" w:cs="Calibri"/>
          <w:i/>
          <w:iCs/>
          <w:sz w:val="22"/>
          <w:szCs w:val="22"/>
        </w:rPr>
        <w:t>jęcie samozatrudnienia).</w:t>
      </w:r>
    </w:p>
    <w:p w:rsidR="00EA7C44" w:rsidRDefault="00EA7C44" w:rsidP="003D0559">
      <w:pPr>
        <w:pStyle w:val="Default"/>
        <w:pBdr>
          <w:bottom w:val="single" w:sz="4" w:space="1" w:color="auto"/>
        </w:pBdr>
        <w:spacing w:line="276" w:lineRule="auto"/>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Wnioskodawca musi we wniosku wybrać wszystkie wskaźniki rezultatu z rozwijalnej listy elektronicznej?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Z listy rozwijanej należy wybrać wszystkie te wskaźniki, które dotyczą lub mogą dotyczyć przygotowywanego przez Wnioskodawcę projektu (np. jeżeli projekt jest kierowany tylko do osób nieaktywnych zawodowo Wnioskodawca nie wybiera wskaźników dotyczących osób bezrobotnych, lecz te odnoszące się do osób nieaktywnych zawodowo). </w:t>
      </w:r>
    </w:p>
    <w:p w:rsidR="00EA7C44" w:rsidRDefault="00EA7C44" w:rsidP="003D0559">
      <w:pPr>
        <w:pStyle w:val="Default"/>
        <w:pBdr>
          <w:bottom w:val="single" w:sz="4" w:space="1" w:color="auto"/>
        </w:pBdr>
        <w:spacing w:line="276" w:lineRule="auto"/>
        <w:jc w:val="both"/>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98222B" w:rsidRDefault="0098222B"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umowa o pracę zawarta przez agencję zatrudnienia (będąca umową trójstronną zawieraną pomiędzy pracownikiem, agencją i pracodawcą klienta) będzie liczona do wskaźnika efektywności zatrudnieniowej?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Tak, o ile spełnia wymogi przewidziane we wskaźniku dla umowy o pracę (zatrudnienie </w:t>
      </w:r>
      <w:r>
        <w:rPr>
          <w:rFonts w:ascii="Calibri" w:hAnsi="Calibri" w:cs="Calibri"/>
          <w:i/>
          <w:iCs/>
          <w:sz w:val="22"/>
          <w:szCs w:val="22"/>
        </w:rPr>
        <w:br/>
        <w:t xml:space="preserve">na co najmniej 3 miesiące w wymiarze minimum 1/2 etatu). Dodatkowo należy pamiętać, </w:t>
      </w:r>
      <w:r>
        <w:rPr>
          <w:rFonts w:ascii="Calibri" w:hAnsi="Calibri" w:cs="Calibri"/>
          <w:i/>
          <w:iCs/>
          <w:sz w:val="22"/>
          <w:szCs w:val="22"/>
        </w:rPr>
        <w:br/>
        <w:t xml:space="preserve">że kryterium efektywności zatrudnieniowej odnosi się do osób, które podjęły prace w okresie </w:t>
      </w:r>
      <w:r>
        <w:rPr>
          <w:rFonts w:ascii="Calibri" w:hAnsi="Calibri" w:cs="Calibri"/>
          <w:i/>
          <w:iCs/>
          <w:sz w:val="22"/>
          <w:szCs w:val="22"/>
        </w:rPr>
        <w:br/>
      </w:r>
      <w:r>
        <w:rPr>
          <w:rFonts w:ascii="Calibri" w:hAnsi="Calibri" w:cs="Calibri"/>
          <w:i/>
          <w:iCs/>
          <w:sz w:val="22"/>
          <w:szCs w:val="22"/>
        </w:rPr>
        <w:lastRenderedPageBreak/>
        <w:t xml:space="preserve">do trzech miesięcy następujących po dniu, w którym zakończyły udział w projekcie. Umowa </w:t>
      </w:r>
      <w:r>
        <w:rPr>
          <w:rFonts w:ascii="Calibri" w:hAnsi="Calibri" w:cs="Calibri"/>
          <w:i/>
          <w:iCs/>
          <w:sz w:val="22"/>
          <w:szCs w:val="22"/>
        </w:rPr>
        <w:br/>
        <w:t xml:space="preserve">o prace zawarta przez agencję zatrudnienia nie może więc stanowić elementu wsparcia przewidzianego w ramach projektu. Wyżej wymieniona umowa musi zostać zawarta </w:t>
      </w:r>
      <w:r>
        <w:rPr>
          <w:rFonts w:ascii="Calibri" w:hAnsi="Calibri" w:cs="Calibri"/>
          <w:i/>
          <w:iCs/>
          <w:sz w:val="22"/>
          <w:szCs w:val="22"/>
        </w:rPr>
        <w:br/>
        <w:t xml:space="preserve">po zakończeniu udziału w projekcie. </w:t>
      </w:r>
    </w:p>
    <w:p w:rsidR="00EA7C44" w:rsidRDefault="00EA7C44" w:rsidP="003D0559">
      <w:pPr>
        <w:pStyle w:val="Default"/>
        <w:pBdr>
          <w:bottom w:val="single" w:sz="4" w:space="1" w:color="auto"/>
        </w:pBdr>
        <w:spacing w:line="276" w:lineRule="auto"/>
        <w:jc w:val="both"/>
        <w:rPr>
          <w:rFonts w:ascii="Calibri" w:hAnsi="Calibri" w:cs="Calibri"/>
          <w:b/>
          <w:bCs/>
          <w:i/>
          <w:iCs/>
          <w:sz w:val="22"/>
          <w:szCs w:val="22"/>
        </w:rPr>
      </w:pPr>
    </w:p>
    <w:p w:rsidR="003D0559" w:rsidRDefault="003D0559" w:rsidP="00FD32DC">
      <w:pPr>
        <w:pStyle w:val="Default"/>
        <w:spacing w:line="276" w:lineRule="auto"/>
        <w:jc w:val="both"/>
        <w:rPr>
          <w:rFonts w:ascii="Calibri" w:hAnsi="Calibri" w:cs="Calibri"/>
          <w:b/>
          <w:bCs/>
          <w:iCs/>
          <w:sz w:val="22"/>
          <w:szCs w:val="22"/>
        </w:rPr>
      </w:pPr>
    </w:p>
    <w:p w:rsidR="00EA7C44" w:rsidRPr="00EA7C44" w:rsidRDefault="00EA7C44" w:rsidP="00FD32DC">
      <w:pPr>
        <w:pStyle w:val="Default"/>
        <w:spacing w:line="276" w:lineRule="auto"/>
        <w:jc w:val="both"/>
        <w:rPr>
          <w:rFonts w:ascii="Calibri" w:hAnsi="Calibri" w:cs="Calibri"/>
          <w:sz w:val="22"/>
          <w:szCs w:val="22"/>
        </w:rPr>
      </w:pPr>
      <w:r w:rsidRPr="00EA7C44">
        <w:rPr>
          <w:rFonts w:ascii="Calibri" w:hAnsi="Calibri" w:cs="Calibri"/>
          <w:b/>
          <w:bCs/>
          <w:iCs/>
          <w:sz w:val="22"/>
          <w:szCs w:val="22"/>
        </w:rPr>
        <w:t xml:space="preserve">W przypadku umowy agencyjnej, jak rozumieć stawkę godzinową jako wynagrodzenie za pracę oraz co z terminem trwania takiej umowy?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Umowa o prace powinna zawierać zapisy potwierdzające, że dana osoba nie przepracuje mniej niż trzy pełne miesiące, a wartość wynagrodzenia będzie nie mniejsza niż trzykrotność minimalnego wynagrodzenia. </w:t>
      </w: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Brak zapisów potwierdzających spełnienie powyższych warunków uniemożliwi wykazanie danej osoby w ramach wskaźnika efektywności zatrudnieniowej jako osoby, która podjęła pracę. </w:t>
      </w:r>
    </w:p>
    <w:p w:rsidR="00EA7C44" w:rsidRDefault="00EA7C44" w:rsidP="003D0559">
      <w:pPr>
        <w:pStyle w:val="Default"/>
        <w:pBdr>
          <w:bottom w:val="single" w:sz="4" w:space="1" w:color="auto"/>
        </w:pBdr>
        <w:spacing w:line="276" w:lineRule="auto"/>
        <w:jc w:val="both"/>
        <w:rPr>
          <w:rFonts w:ascii="Calibri" w:hAnsi="Calibri" w:cs="Calibri"/>
          <w:b/>
          <w:bCs/>
          <w:i/>
          <w:iCs/>
          <w:sz w:val="22"/>
          <w:szCs w:val="22"/>
        </w:rPr>
      </w:pPr>
    </w:p>
    <w:p w:rsidR="003D0559" w:rsidRDefault="003D0559" w:rsidP="00FD32DC">
      <w:pPr>
        <w:pStyle w:val="Default"/>
        <w:spacing w:line="276" w:lineRule="auto"/>
        <w:jc w:val="both"/>
        <w:rPr>
          <w:rFonts w:ascii="Calibri" w:hAnsi="Calibri" w:cs="Calibri"/>
          <w:b/>
          <w:bCs/>
          <w:iCs/>
          <w:sz w:val="22"/>
          <w:szCs w:val="22"/>
        </w:rPr>
      </w:pPr>
    </w:p>
    <w:p w:rsidR="00EA7C44" w:rsidRPr="00EA7C44" w:rsidRDefault="00EA7C44" w:rsidP="00FD32DC">
      <w:pPr>
        <w:pStyle w:val="Default"/>
        <w:spacing w:line="276" w:lineRule="auto"/>
        <w:jc w:val="both"/>
        <w:rPr>
          <w:rFonts w:ascii="Calibri" w:hAnsi="Calibri" w:cs="Calibri"/>
          <w:sz w:val="22"/>
          <w:szCs w:val="22"/>
        </w:rPr>
      </w:pPr>
      <w:r w:rsidRPr="00EA7C44">
        <w:rPr>
          <w:rFonts w:ascii="Calibri" w:hAnsi="Calibri" w:cs="Calibri"/>
          <w:b/>
          <w:bCs/>
          <w:iCs/>
          <w:sz w:val="22"/>
          <w:szCs w:val="22"/>
        </w:rPr>
        <w:t xml:space="preserve">Czy w przypadku potwierdzenia samozatrudnienia wystarczy wydruk z CEIDG?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Nie, ponieważ samo zarejestrowanie działalności nie jest wystarczające. Liczy się fakt prowadzenia działalności gospodarczej przez okres minimum trzech miesięcy po zakończeniu udziału w projekcie (np. dowód opłacania należnych składek na ubezpieczenia społeczne lub zaświadczenie wydane przez upoważniony organ – np. ZUS, Urząd Skarbowy, urząd miasta lub gminy).</w:t>
      </w:r>
    </w:p>
    <w:p w:rsidR="00EA7C44" w:rsidRDefault="00EA7C44" w:rsidP="003D0559">
      <w:pPr>
        <w:pStyle w:val="Default"/>
        <w:pBdr>
          <w:bottom w:val="single" w:sz="4" w:space="1" w:color="auto"/>
        </w:pBdr>
        <w:spacing w:line="276" w:lineRule="auto"/>
        <w:rPr>
          <w:rFonts w:ascii="Calibri" w:hAnsi="Calibri" w:cs="Calibri"/>
          <w:b/>
          <w:bCs/>
          <w:i/>
          <w:iCs/>
          <w:sz w:val="22"/>
          <w:szCs w:val="22"/>
        </w:rPr>
      </w:pPr>
    </w:p>
    <w:p w:rsidR="003D0559" w:rsidRDefault="003D0559" w:rsidP="00FD32DC">
      <w:pPr>
        <w:pStyle w:val="Default"/>
        <w:spacing w:line="276" w:lineRule="auto"/>
        <w:jc w:val="both"/>
        <w:rPr>
          <w:rFonts w:ascii="Calibri" w:hAnsi="Calibri" w:cs="Calibri"/>
          <w:b/>
          <w:bCs/>
          <w:iCs/>
          <w:sz w:val="22"/>
          <w:szCs w:val="22"/>
        </w:rPr>
      </w:pPr>
    </w:p>
    <w:p w:rsidR="00EA7C44" w:rsidRDefault="00EA7C44" w:rsidP="00FD32DC">
      <w:pPr>
        <w:pStyle w:val="Default"/>
        <w:spacing w:line="276" w:lineRule="auto"/>
        <w:jc w:val="both"/>
        <w:rPr>
          <w:rFonts w:ascii="Calibri" w:hAnsi="Calibri" w:cs="Calibri"/>
          <w:sz w:val="22"/>
          <w:szCs w:val="22"/>
        </w:rPr>
      </w:pPr>
      <w:r w:rsidRPr="00EA7C44">
        <w:rPr>
          <w:rFonts w:ascii="Calibri" w:hAnsi="Calibri" w:cs="Calibri"/>
          <w:b/>
          <w:bCs/>
          <w:iCs/>
          <w:sz w:val="22"/>
          <w:szCs w:val="22"/>
        </w:rPr>
        <w:t>Co rozumiane jest przez</w:t>
      </w:r>
      <w:r>
        <w:rPr>
          <w:rFonts w:ascii="Calibri" w:hAnsi="Calibri" w:cs="Calibri"/>
          <w:b/>
          <w:bCs/>
          <w:i/>
          <w:iCs/>
          <w:sz w:val="22"/>
          <w:szCs w:val="22"/>
        </w:rPr>
        <w:t xml:space="preserve"> „wysokiej jakości ofertę zatrudnienia”?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Wysokiej jakości oferta zatrudnienia tj. oferta pracy, która spełnia warunki: w przypadku stosunku pracy – oferta pracy na okres co najmniej trzech miesięcy na ½ etatu; w przypadku umowy cywilnoprawnej – oferta pracy na minimum trzy pełne miesiące i wartość umowy jest równa lub wyższa trzykrotności minimalnego wynagrodzenia; w przypadku umowy cywilnoprawnej zawartej na okres krótszy niż trzy miesiące (umowy o dzieło) – wartość umowy jest równa lub wyższa trzykrotności minimalnego wynagrodzenia. </w:t>
      </w:r>
    </w:p>
    <w:p w:rsidR="00EA7C44" w:rsidRDefault="00EA7C44" w:rsidP="003D0559">
      <w:pPr>
        <w:pStyle w:val="Default"/>
        <w:pBdr>
          <w:bottom w:val="single" w:sz="4" w:space="1" w:color="auto"/>
        </w:pBdr>
        <w:spacing w:line="276" w:lineRule="auto"/>
        <w:jc w:val="both"/>
        <w:rPr>
          <w:rFonts w:ascii="Calibri" w:hAnsi="Calibri" w:cs="Calibri"/>
          <w:i/>
          <w:iCs/>
          <w:sz w:val="22"/>
          <w:szCs w:val="22"/>
        </w:rPr>
      </w:pPr>
    </w:p>
    <w:p w:rsidR="003D0559" w:rsidRDefault="003D0559" w:rsidP="00FD32DC">
      <w:pPr>
        <w:pStyle w:val="Default"/>
        <w:spacing w:line="276" w:lineRule="auto"/>
        <w:jc w:val="both"/>
        <w:rPr>
          <w:rStyle w:val="Uwydatnienie"/>
          <w:rFonts w:asciiTheme="minorHAnsi" w:hAnsiTheme="minorHAnsi"/>
          <w:b/>
          <w:i w:val="0"/>
          <w:sz w:val="22"/>
          <w:szCs w:val="22"/>
        </w:rPr>
      </w:pPr>
    </w:p>
    <w:p w:rsidR="00EA7C44" w:rsidRDefault="00EA7C44" w:rsidP="00FD32DC">
      <w:pPr>
        <w:pStyle w:val="Default"/>
        <w:spacing w:line="276" w:lineRule="auto"/>
        <w:jc w:val="both"/>
        <w:rPr>
          <w:rStyle w:val="Uwydatnienie"/>
          <w:rFonts w:asciiTheme="minorHAnsi" w:hAnsiTheme="minorHAnsi"/>
          <w:b/>
          <w:i w:val="0"/>
          <w:sz w:val="22"/>
          <w:szCs w:val="22"/>
        </w:rPr>
      </w:pPr>
      <w:r w:rsidRPr="00402054">
        <w:rPr>
          <w:rStyle w:val="Uwydatnienie"/>
          <w:rFonts w:asciiTheme="minorHAnsi" w:hAnsiTheme="minorHAnsi"/>
          <w:b/>
          <w:i w:val="0"/>
          <w:sz w:val="22"/>
          <w:szCs w:val="22"/>
        </w:rPr>
        <w:t xml:space="preserve">Czy wskaźnik zatrudnienia bada się 3 miesiące po zakończeniu przez beneficjenta udziału </w:t>
      </w:r>
      <w:r>
        <w:rPr>
          <w:rStyle w:val="Uwydatnienie"/>
          <w:rFonts w:asciiTheme="minorHAnsi" w:hAnsiTheme="minorHAnsi"/>
          <w:b/>
          <w:i w:val="0"/>
          <w:sz w:val="22"/>
          <w:szCs w:val="22"/>
        </w:rPr>
        <w:br/>
      </w:r>
      <w:r w:rsidRPr="00402054">
        <w:rPr>
          <w:rStyle w:val="Uwydatnienie"/>
          <w:rFonts w:asciiTheme="minorHAnsi" w:hAnsiTheme="minorHAnsi"/>
          <w:b/>
          <w:i w:val="0"/>
          <w:sz w:val="22"/>
          <w:szCs w:val="22"/>
        </w:rPr>
        <w:t xml:space="preserve">w projekcie, jednak nie dłużej niż do 31.12.2016 r.? Czy można go badać przez 3 miesiące </w:t>
      </w:r>
      <w:r>
        <w:rPr>
          <w:rStyle w:val="Uwydatnienie"/>
          <w:rFonts w:asciiTheme="minorHAnsi" w:hAnsiTheme="minorHAnsi"/>
          <w:b/>
          <w:i w:val="0"/>
          <w:sz w:val="22"/>
          <w:szCs w:val="22"/>
        </w:rPr>
        <w:br/>
      </w:r>
      <w:r w:rsidRPr="00402054">
        <w:rPr>
          <w:rStyle w:val="Uwydatnienie"/>
          <w:rFonts w:asciiTheme="minorHAnsi" w:hAnsiTheme="minorHAnsi"/>
          <w:b/>
          <w:i w:val="0"/>
          <w:sz w:val="22"/>
          <w:szCs w:val="22"/>
        </w:rPr>
        <w:t>po zakończeniu udziału beneficjenta w projekcie, tj. do 31.03.2017 r. jeżeli beneficjent 31.12.2016 r. otrzymał ostatnie wsparcie?</w:t>
      </w:r>
    </w:p>
    <w:p w:rsidR="00EA7C44" w:rsidRDefault="00EA7C44" w:rsidP="00FD32DC">
      <w:pPr>
        <w:spacing w:line="276" w:lineRule="auto"/>
        <w:ind w:firstLine="0"/>
        <w:rPr>
          <w:rFonts w:cs="Calibri"/>
          <w:b/>
          <w:i/>
          <w:iCs/>
          <w:color w:val="000000"/>
        </w:rPr>
      </w:pPr>
    </w:p>
    <w:p w:rsidR="00EA7C44" w:rsidRPr="00402054" w:rsidRDefault="00EA7C44" w:rsidP="00FD32DC">
      <w:pPr>
        <w:spacing w:line="276" w:lineRule="auto"/>
        <w:ind w:firstLine="0"/>
        <w:rPr>
          <w:i/>
        </w:rPr>
      </w:pPr>
      <w:r w:rsidRPr="00402054">
        <w:rPr>
          <w:i/>
        </w:rPr>
        <w:t xml:space="preserve">Zgodnie z Regulaminem konkursu, wskaźnik efektywności zatrudnieniowej będzie weryfikowany w okresie realizacji projektu i po jego zakończeniu. W związku z tym, w sytuacji, gdy projekt </w:t>
      </w:r>
      <w:r w:rsidRPr="00402054">
        <w:rPr>
          <w:i/>
        </w:rPr>
        <w:lastRenderedPageBreak/>
        <w:t>zostanie zakończony 31.12.2016 (a regulamin dopuszcza taką możliwość), wskaźnik efektywności zatrudnieniowej może być zmierzony trzy miesiące później.</w:t>
      </w:r>
    </w:p>
    <w:p w:rsidR="00EA7C44" w:rsidRDefault="00EA7C44" w:rsidP="003D0559">
      <w:pPr>
        <w:pBdr>
          <w:bottom w:val="single" w:sz="4" w:space="1" w:color="auto"/>
        </w:pBdr>
        <w:autoSpaceDE w:val="0"/>
        <w:autoSpaceDN w:val="0"/>
        <w:adjustRightInd w:val="0"/>
        <w:spacing w:line="276" w:lineRule="auto"/>
        <w:ind w:firstLine="0"/>
        <w:rPr>
          <w:rStyle w:val="Uwydatnienie"/>
          <w:b/>
          <w:i w:val="0"/>
          <w:color w:val="000000"/>
        </w:rPr>
      </w:pPr>
    </w:p>
    <w:p w:rsidR="003D0559" w:rsidRDefault="003D0559" w:rsidP="00FD32DC">
      <w:pPr>
        <w:autoSpaceDE w:val="0"/>
        <w:autoSpaceDN w:val="0"/>
        <w:adjustRightInd w:val="0"/>
        <w:spacing w:line="276" w:lineRule="auto"/>
        <w:ind w:firstLine="0"/>
        <w:rPr>
          <w:rStyle w:val="Uwydatnienie"/>
          <w:b/>
          <w:i w:val="0"/>
          <w:color w:val="000000"/>
        </w:rPr>
      </w:pPr>
    </w:p>
    <w:p w:rsidR="00EA7C44" w:rsidRPr="00BE3E81" w:rsidRDefault="00EA7C44" w:rsidP="00FD32DC">
      <w:pPr>
        <w:autoSpaceDE w:val="0"/>
        <w:autoSpaceDN w:val="0"/>
        <w:adjustRightInd w:val="0"/>
        <w:spacing w:line="276" w:lineRule="auto"/>
        <w:ind w:firstLine="0"/>
        <w:rPr>
          <w:rFonts w:ascii="Calibri" w:hAnsi="Calibri" w:cs="Calibri"/>
          <w:b/>
          <w:i/>
          <w:color w:val="000000"/>
          <w:sz w:val="24"/>
          <w:szCs w:val="24"/>
        </w:rPr>
      </w:pPr>
      <w:r w:rsidRPr="00402054">
        <w:rPr>
          <w:rStyle w:val="Uwydatnienie"/>
          <w:b/>
          <w:i w:val="0"/>
          <w:color w:val="000000"/>
        </w:rPr>
        <w:t>Czy osoby o niskich kwalifikacjach, to osoby z wykształceniem średnim i niższym, czy niższym niż średnie?</w:t>
      </w:r>
    </w:p>
    <w:p w:rsidR="00EA7C44" w:rsidRDefault="00EA7C44" w:rsidP="00FD32DC">
      <w:pPr>
        <w:spacing w:line="276" w:lineRule="auto"/>
        <w:ind w:firstLine="0"/>
        <w:rPr>
          <w:rFonts w:ascii="Calibri" w:hAnsi="Calibri" w:cs="Calibri"/>
          <w:b/>
          <w:bCs/>
          <w:i/>
          <w:iCs/>
          <w:color w:val="000000"/>
        </w:rPr>
      </w:pPr>
    </w:p>
    <w:p w:rsidR="00EA7C44" w:rsidRDefault="00EA7C44" w:rsidP="00FD32DC">
      <w:pPr>
        <w:spacing w:line="276" w:lineRule="auto"/>
        <w:ind w:firstLine="0"/>
      </w:pPr>
      <w:r>
        <w:t>Są to osoby maksymalnie z wykształceniem średnim ogólnym.</w:t>
      </w:r>
    </w:p>
    <w:p w:rsidR="00EA7C44" w:rsidRDefault="00EA7C44" w:rsidP="003D0559">
      <w:pPr>
        <w:pBdr>
          <w:bottom w:val="single" w:sz="4" w:space="1" w:color="auto"/>
        </w:pBdr>
        <w:autoSpaceDE w:val="0"/>
        <w:autoSpaceDN w:val="0"/>
        <w:adjustRightInd w:val="0"/>
        <w:spacing w:line="276" w:lineRule="auto"/>
        <w:ind w:firstLine="0"/>
        <w:rPr>
          <w:rFonts w:ascii="Calibri" w:hAnsi="Calibri" w:cs="Calibri"/>
          <w:b/>
          <w:bCs/>
          <w:i/>
          <w:iCs/>
          <w:color w:val="000000"/>
        </w:rPr>
      </w:pPr>
    </w:p>
    <w:p w:rsidR="003D0559" w:rsidRDefault="003D0559" w:rsidP="00FD32DC">
      <w:pPr>
        <w:autoSpaceDE w:val="0"/>
        <w:autoSpaceDN w:val="0"/>
        <w:adjustRightInd w:val="0"/>
        <w:spacing w:line="276" w:lineRule="auto"/>
        <w:ind w:firstLine="0"/>
        <w:rPr>
          <w:rFonts w:ascii="Calibri" w:hAnsi="Calibri" w:cs="Calibri"/>
          <w:b/>
          <w:bCs/>
          <w:iCs/>
          <w:color w:val="000000"/>
        </w:rPr>
      </w:pPr>
    </w:p>
    <w:p w:rsidR="00EA7C44" w:rsidRPr="00EA7C44" w:rsidRDefault="00EA7C44" w:rsidP="00FD32DC">
      <w:pPr>
        <w:autoSpaceDE w:val="0"/>
        <w:autoSpaceDN w:val="0"/>
        <w:adjustRightInd w:val="0"/>
        <w:spacing w:line="276" w:lineRule="auto"/>
        <w:ind w:firstLine="0"/>
        <w:rPr>
          <w:rFonts w:ascii="Calibri" w:hAnsi="Calibri" w:cs="Calibri"/>
          <w:b/>
          <w:bCs/>
          <w:iCs/>
          <w:color w:val="000000"/>
        </w:rPr>
      </w:pPr>
      <w:r w:rsidRPr="00BE3E81">
        <w:rPr>
          <w:rFonts w:ascii="Calibri" w:hAnsi="Calibri" w:cs="Calibri"/>
          <w:b/>
          <w:bCs/>
          <w:iCs/>
          <w:color w:val="000000"/>
        </w:rPr>
        <w:t>W jakiej formie należy uzyskać informacje</w:t>
      </w:r>
      <w:r w:rsidR="0098222B">
        <w:rPr>
          <w:rFonts w:ascii="Calibri" w:hAnsi="Calibri" w:cs="Calibri"/>
          <w:b/>
          <w:bCs/>
          <w:iCs/>
          <w:color w:val="000000"/>
        </w:rPr>
        <w:t xml:space="preserve"> od uczestnika projektu 4 tyg. p</w:t>
      </w:r>
      <w:r w:rsidRPr="00BE3E81">
        <w:rPr>
          <w:rFonts w:ascii="Calibri" w:hAnsi="Calibri" w:cs="Calibri"/>
          <w:b/>
          <w:bCs/>
          <w:iCs/>
          <w:color w:val="000000"/>
        </w:rPr>
        <w:t xml:space="preserve">o zakończeniu </w:t>
      </w:r>
      <w:r w:rsidR="0098222B">
        <w:rPr>
          <w:rFonts w:ascii="Calibri" w:hAnsi="Calibri" w:cs="Calibri"/>
          <w:b/>
          <w:bCs/>
          <w:iCs/>
          <w:color w:val="000000"/>
        </w:rPr>
        <w:t xml:space="preserve">udziału w projekcie </w:t>
      </w:r>
      <w:r w:rsidRPr="00BE3E81">
        <w:rPr>
          <w:rFonts w:ascii="Calibri" w:hAnsi="Calibri" w:cs="Calibri"/>
          <w:b/>
          <w:bCs/>
          <w:iCs/>
          <w:color w:val="000000"/>
        </w:rPr>
        <w:t>na tem</w:t>
      </w:r>
      <w:r w:rsidRPr="00EA7C44">
        <w:rPr>
          <w:rFonts w:ascii="Calibri" w:hAnsi="Calibri" w:cs="Calibri"/>
          <w:b/>
          <w:bCs/>
          <w:iCs/>
          <w:color w:val="000000"/>
        </w:rPr>
        <w:t>at tego jakie otrzymał wsparcie</w:t>
      </w:r>
      <w:r w:rsidRPr="00BE3E81">
        <w:rPr>
          <w:rFonts w:ascii="Calibri" w:hAnsi="Calibri" w:cs="Calibri"/>
          <w:b/>
          <w:bCs/>
          <w:iCs/>
          <w:color w:val="000000"/>
        </w:rPr>
        <w:t xml:space="preserve">? </w:t>
      </w:r>
    </w:p>
    <w:p w:rsidR="00EA7C44" w:rsidRDefault="00EA7C44" w:rsidP="00FD32DC">
      <w:pPr>
        <w:autoSpaceDE w:val="0"/>
        <w:autoSpaceDN w:val="0"/>
        <w:adjustRightInd w:val="0"/>
        <w:spacing w:line="276" w:lineRule="auto"/>
        <w:ind w:firstLine="0"/>
        <w:rPr>
          <w:rFonts w:ascii="Calibri" w:hAnsi="Calibri" w:cs="Calibri"/>
          <w:color w:val="000000"/>
        </w:rPr>
      </w:pPr>
    </w:p>
    <w:p w:rsidR="00EA7C44" w:rsidRPr="00BE3E81" w:rsidRDefault="00EA7C44" w:rsidP="00FD32DC">
      <w:pPr>
        <w:autoSpaceDE w:val="0"/>
        <w:autoSpaceDN w:val="0"/>
        <w:adjustRightInd w:val="0"/>
        <w:spacing w:line="276" w:lineRule="auto"/>
        <w:ind w:firstLine="0"/>
        <w:rPr>
          <w:rFonts w:ascii="Calibri" w:hAnsi="Calibri" w:cs="Calibri"/>
          <w:color w:val="000000"/>
        </w:rPr>
      </w:pPr>
      <w:r w:rsidRPr="00BE3E81">
        <w:rPr>
          <w:rFonts w:ascii="Calibri" w:hAnsi="Calibri" w:cs="Calibri"/>
          <w:i/>
          <w:iCs/>
          <w:color w:val="000000"/>
        </w:rPr>
        <w:t xml:space="preserve">Zgodnie z zapisami Wytycznych w zakresie kwalifikowalności wydatków w ramach Europejskiego Funduszu Rozwoju Regionalnego, Europejskiego Funduszu Społecznego oraz Funduszu Spójności na lata 2014-2020 z dnia 10 kwietnia 2015 r., jednym z warunków kwalifikowalności uczestników projektu jest „zobowiązanie osoby fizycznej do przekazania informacji na temat jej sytuacji </w:t>
      </w:r>
      <w:r>
        <w:rPr>
          <w:rFonts w:ascii="Calibri" w:hAnsi="Calibri" w:cs="Calibri"/>
          <w:i/>
          <w:iCs/>
          <w:color w:val="000000"/>
        </w:rPr>
        <w:br/>
      </w:r>
      <w:r w:rsidRPr="00BE3E81">
        <w:rPr>
          <w:rFonts w:ascii="Calibri" w:hAnsi="Calibri" w:cs="Calibri"/>
          <w:i/>
          <w:iCs/>
          <w:color w:val="000000"/>
        </w:rPr>
        <w:t xml:space="preserve">po opuszczeniu programu”. </w:t>
      </w:r>
    </w:p>
    <w:p w:rsidR="00EA7C44" w:rsidRDefault="00EA7C44" w:rsidP="00FD32DC">
      <w:pPr>
        <w:pStyle w:val="Default"/>
        <w:spacing w:line="276" w:lineRule="auto"/>
        <w:jc w:val="both"/>
        <w:rPr>
          <w:rFonts w:ascii="Calibri" w:hAnsi="Calibri" w:cs="Calibri"/>
          <w:sz w:val="22"/>
          <w:szCs w:val="22"/>
        </w:rPr>
      </w:pPr>
      <w:r w:rsidRPr="00BE3E81">
        <w:rPr>
          <w:rFonts w:ascii="Calibri" w:hAnsi="Calibri" w:cs="Calibri"/>
          <w:i/>
          <w:iCs/>
          <w:sz w:val="22"/>
          <w:szCs w:val="22"/>
        </w:rPr>
        <w:t xml:space="preserve">W ramach Programu Operacyjnego Wiedza Edukacja Rozwój IZ PO WER zadeklarowała opracowanie ankiety, w oparciu o którą będą zbierane informacje od uczestników projektu </w:t>
      </w:r>
      <w:r>
        <w:rPr>
          <w:rFonts w:ascii="Calibri" w:hAnsi="Calibri" w:cs="Calibri"/>
          <w:i/>
          <w:iCs/>
          <w:sz w:val="22"/>
          <w:szCs w:val="22"/>
        </w:rPr>
        <w:br/>
      </w:r>
      <w:r w:rsidRPr="00BE3E81">
        <w:rPr>
          <w:rFonts w:ascii="Calibri" w:hAnsi="Calibri" w:cs="Calibri"/>
          <w:i/>
          <w:iCs/>
          <w:sz w:val="22"/>
          <w:szCs w:val="22"/>
        </w:rPr>
        <w:t>po zakończeniu przez nich udziału w projekcie.</w:t>
      </w:r>
    </w:p>
    <w:p w:rsidR="00EA7C44" w:rsidRDefault="00EA7C44" w:rsidP="00EA7C44">
      <w:pPr>
        <w:pStyle w:val="Cytatintensywny"/>
        <w:spacing w:line="240" w:lineRule="auto"/>
        <w:ind w:left="0"/>
      </w:pPr>
      <w:r>
        <w:t>Formy wsparcia</w:t>
      </w: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w ramach projektów możliwe są także szkolenia językowe zakończone certyfikatem </w:t>
      </w:r>
      <w:r w:rsidR="0098222B">
        <w:rPr>
          <w:rFonts w:ascii="Calibri" w:hAnsi="Calibri" w:cs="Calibri"/>
          <w:b/>
          <w:bCs/>
          <w:sz w:val="22"/>
          <w:szCs w:val="22"/>
        </w:rPr>
        <w:br/>
        <w:t>i</w:t>
      </w:r>
      <w:r>
        <w:rPr>
          <w:rFonts w:ascii="Calibri" w:hAnsi="Calibri" w:cs="Calibri"/>
          <w:b/>
          <w:bCs/>
          <w:sz w:val="22"/>
          <w:szCs w:val="22"/>
        </w:rPr>
        <w:t xml:space="preserve"> szkolenia komputerowe zakończone certyfikatem?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Tak, w ramach projektów możliwa jest realizacja szkoleń językowych lub komputerowych pod warunkiem, że potrzeba ich realizacji będzie wynikała z przeprowadzonej identyfikacji potrzeb danej osoby i będzie stanowiła integralny element zindywidualizowanej i kompleksowej ścieżki aktywizacji zawodowej. </w:t>
      </w:r>
    </w:p>
    <w:p w:rsidR="00EA7C44" w:rsidRDefault="00EA7C44" w:rsidP="003D0559">
      <w:pPr>
        <w:pStyle w:val="Default"/>
        <w:pBdr>
          <w:bottom w:val="single" w:sz="4" w:space="1" w:color="auto"/>
        </w:pBdr>
        <w:spacing w:line="276" w:lineRule="auto"/>
        <w:jc w:val="both"/>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w ramach stypendium szkoleniowego jest określona minimalna liczba godzin po której jest wypłacane takie stypendium?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Wysokość stypendium wynosi miesięcznie 120% zasiłku, o którym mowa w art. 72 ust. 1 pkt 1, </w:t>
      </w:r>
      <w:r w:rsidRPr="003D0559">
        <w:rPr>
          <w:rFonts w:ascii="Calibri" w:hAnsi="Calibri" w:cs="Calibri"/>
          <w:i/>
          <w:iCs/>
          <w:sz w:val="22"/>
          <w:szCs w:val="22"/>
        </w:rPr>
        <w:t>jeżeli miesięczny wymiar godzin szkolenia wynosi co najmniej 150 godzin</w:t>
      </w:r>
      <w:r w:rsidRPr="0039423A">
        <w:rPr>
          <w:rFonts w:ascii="Calibri" w:hAnsi="Calibri" w:cs="Calibri"/>
          <w:i/>
          <w:iCs/>
          <w:sz w:val="22"/>
          <w:szCs w:val="22"/>
          <w:u w:val="single"/>
        </w:rPr>
        <w:t>;</w:t>
      </w:r>
      <w:r>
        <w:rPr>
          <w:rFonts w:ascii="Calibri" w:hAnsi="Calibri" w:cs="Calibri"/>
          <w:i/>
          <w:iCs/>
          <w:sz w:val="22"/>
          <w:szCs w:val="22"/>
        </w:rPr>
        <w:t xml:space="preserve"> w przypadku niższego miesięcznego wymiaru godzin szkolenia wysokość stypendium ustala się proporcjonalnie. Jednak </w:t>
      </w:r>
      <w:r>
        <w:rPr>
          <w:rFonts w:ascii="Calibri" w:hAnsi="Calibri" w:cs="Calibri"/>
          <w:i/>
          <w:iCs/>
          <w:sz w:val="22"/>
          <w:szCs w:val="22"/>
        </w:rPr>
        <w:lastRenderedPageBreak/>
        <w:t>warunkiem koniecznym do uznania wydatku za kwalifikowalny jest uczestnictwo osoby skierowanej na szkolenia w co najmniej 80% godzin szkoleniowych.</w:t>
      </w:r>
    </w:p>
    <w:p w:rsidR="00EA7C44" w:rsidRDefault="00EA7C44" w:rsidP="003D0559">
      <w:pPr>
        <w:pStyle w:val="Default"/>
        <w:pBdr>
          <w:bottom w:val="single" w:sz="4" w:space="1" w:color="auto"/>
        </w:pBdr>
        <w:spacing w:line="276" w:lineRule="auto"/>
        <w:jc w:val="both"/>
        <w:rPr>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w ramach stypendium stażowego jest określona minimalna liczba godzin po której jest wypłacane takie stypendium? </w:t>
      </w:r>
    </w:p>
    <w:p w:rsidR="00EA7C44" w:rsidRDefault="00EA7C44" w:rsidP="00FD32DC">
      <w:pPr>
        <w:pStyle w:val="Default"/>
        <w:spacing w:line="276" w:lineRule="auto"/>
        <w:jc w:val="both"/>
        <w:rPr>
          <w:rFonts w:ascii="Calibri" w:hAnsi="Calibri" w:cs="Calibri"/>
          <w:sz w:val="22"/>
          <w:szCs w:val="22"/>
        </w:rPr>
      </w:pPr>
    </w:p>
    <w:p w:rsidR="00EA7C44" w:rsidRPr="00495839"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Osoba odbywająca staż/praktykę zawodową powinna wykonywać powierzone jej czynności lub zadania w wymiarze nie przekraczającym 8 godzin na dobę i 40 godzin tygodniowo, </w:t>
      </w:r>
      <w:r>
        <w:rPr>
          <w:rFonts w:ascii="Calibri" w:hAnsi="Calibri" w:cs="Calibri"/>
          <w:i/>
          <w:iCs/>
          <w:sz w:val="22"/>
          <w:szCs w:val="22"/>
        </w:rPr>
        <w:br/>
        <w:t>a w przypadku osoby niepełnosprawnej zaliczonej do znacznego lub umiarkowanego stopnia niepełnosprawności - 7 godzin na dobę i 35 godzin tygodniowo, jednak nie mniej niż połowa wymiaru czasu pracy tj. 4 godziny dziennie i 20 godzin tygodniowo.</w:t>
      </w: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Ponadto, staż nie może być krótszy niż 3 miesiące i nie dłuższy niż 12 miesięcy. </w:t>
      </w: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Stypendium stażowe naliczane jest proporcjonalnie do liczby godzin stażu zrealizowanych przez stażystę. </w:t>
      </w:r>
    </w:p>
    <w:p w:rsidR="00EA7C44" w:rsidRDefault="00EA7C44" w:rsidP="003D0559">
      <w:pPr>
        <w:pStyle w:val="Default"/>
        <w:pBdr>
          <w:bottom w:val="single" w:sz="4" w:space="1" w:color="auto"/>
        </w:pBdr>
        <w:spacing w:line="276" w:lineRule="auto"/>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Jak jest z zatrudnieniem wspomaganym i zakończeniem realizacji w projekcie?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Niezależnie od oferowanej formy wsparcia przez zakończenie udziału w projekcie należy rozumieć zakończenie finansowania wsparcia w ramach projektu. </w:t>
      </w:r>
    </w:p>
    <w:p w:rsidR="00EA7C44" w:rsidRDefault="00EA7C44" w:rsidP="003D0559">
      <w:pPr>
        <w:pStyle w:val="Default"/>
        <w:pBdr>
          <w:bottom w:val="single" w:sz="4" w:space="1" w:color="auto"/>
        </w:pBdr>
        <w:spacing w:line="276" w:lineRule="auto"/>
        <w:jc w:val="both"/>
        <w:rPr>
          <w:rFonts w:ascii="Calibri" w:hAnsi="Calibri" w:cs="Calibri"/>
          <w:i/>
          <w:iCs/>
          <w:sz w:val="22"/>
          <w:szCs w:val="22"/>
        </w:rPr>
      </w:pPr>
    </w:p>
    <w:p w:rsidR="003D0559" w:rsidRDefault="003D0559" w:rsidP="00FD32DC">
      <w:pPr>
        <w:spacing w:line="276" w:lineRule="auto"/>
        <w:ind w:firstLine="0"/>
        <w:rPr>
          <w:b/>
        </w:rPr>
      </w:pPr>
    </w:p>
    <w:p w:rsidR="00EA7C44" w:rsidRPr="00BE3E81" w:rsidRDefault="00EA7C44" w:rsidP="00FD32DC">
      <w:pPr>
        <w:spacing w:line="276" w:lineRule="auto"/>
        <w:ind w:firstLine="0"/>
        <w:rPr>
          <w:b/>
        </w:rPr>
      </w:pPr>
      <w:r w:rsidRPr="00BE3E81">
        <w:rPr>
          <w:b/>
        </w:rPr>
        <w:t xml:space="preserve">Czy istnieje możliwość sfinansowania kosztów opieki nad dziećmi osób uczestniczących </w:t>
      </w:r>
      <w:r>
        <w:rPr>
          <w:b/>
        </w:rPr>
        <w:br/>
      </w:r>
      <w:r w:rsidRPr="00BE3E81">
        <w:rPr>
          <w:b/>
        </w:rPr>
        <w:t xml:space="preserve">w projektach w ramach Poddziałania 1.2.2? </w:t>
      </w:r>
    </w:p>
    <w:p w:rsidR="00EA7C44" w:rsidRDefault="00EA7C44" w:rsidP="00FD32DC">
      <w:pPr>
        <w:spacing w:line="276" w:lineRule="auto"/>
        <w:ind w:firstLine="0"/>
      </w:pPr>
    </w:p>
    <w:p w:rsidR="00EA7C44" w:rsidRPr="00EA7C44" w:rsidRDefault="00EA7C44" w:rsidP="00FD32DC">
      <w:pPr>
        <w:spacing w:line="276" w:lineRule="auto"/>
        <w:ind w:firstLine="0"/>
        <w:rPr>
          <w:i/>
        </w:rPr>
      </w:pPr>
      <w:r w:rsidRPr="00EA7C44">
        <w:rPr>
          <w:i/>
        </w:rPr>
        <w:t xml:space="preserve">Wytyczne w zakresie realizacji przedsięwzięć z udziałem środków Europejskiego Funduszu Społecznego w obszarze rynku pracy na lata 2014-2020 (dostępne na stronie Wojewódzkiego Urzędu Pracy w Szczecinie – </w:t>
      </w:r>
      <w:hyperlink r:id="rId8" w:history="1">
        <w:r w:rsidRPr="00EA7C44">
          <w:rPr>
            <w:rStyle w:val="Hipercze"/>
            <w:i/>
          </w:rPr>
          <w:t>www.wup.pl</w:t>
        </w:r>
      </w:hyperlink>
      <w:r w:rsidRPr="00EA7C44">
        <w:rPr>
          <w:i/>
        </w:rPr>
        <w:t xml:space="preserve"> w zakładce Fundusze Europejskie- Program Operacyjny Wiedza Edukacja Rozwój 2014-2020- Dokumenty Programowe) stanowią, iż: </w:t>
      </w:r>
      <w:r w:rsidRPr="00EA7C44">
        <w:rPr>
          <w:i/>
          <w:iCs/>
        </w:rPr>
        <w:t>Wsparcie oferowane uczestnikom w ramach projektu obejmuje instrumenty i usługi rynku pracy wskazane w ustawie o promocji zatrudnienia i instytucjach rynku pracy lub inne działania zatrudnieniowe, które przyczyniają się do aktywizacji zawod</w:t>
      </w:r>
      <w:r w:rsidR="003D0559">
        <w:rPr>
          <w:i/>
          <w:iCs/>
        </w:rPr>
        <w:t xml:space="preserve">owej </w:t>
      </w:r>
      <w:r w:rsidRPr="00EA7C44">
        <w:rPr>
          <w:i/>
        </w:rPr>
        <w:t>(str. 17)</w:t>
      </w:r>
      <w:r w:rsidR="003D0559">
        <w:rPr>
          <w:i/>
        </w:rPr>
        <w:t>.</w:t>
      </w:r>
    </w:p>
    <w:p w:rsidR="00EA7C44" w:rsidRPr="00EA7C44" w:rsidRDefault="00EA7C44" w:rsidP="00FD32DC">
      <w:pPr>
        <w:spacing w:line="276" w:lineRule="auto"/>
        <w:ind w:firstLine="0"/>
        <w:rPr>
          <w:i/>
          <w:iCs/>
          <w:sz w:val="24"/>
          <w:szCs w:val="24"/>
        </w:rPr>
      </w:pPr>
      <w:r w:rsidRPr="00EA7C44">
        <w:rPr>
          <w:i/>
        </w:rPr>
        <w:t>Zapis ten implikuje możliwość sfinansowania w ramach projektu opieki nad dziećmi osób, dla których, w świetle aktywizacji zawodowej, jest to niezbędne (np. osoby samotnie wychowujące dzieci).</w:t>
      </w:r>
    </w:p>
    <w:p w:rsidR="00EA7C44" w:rsidRPr="00EA7C44" w:rsidRDefault="00EA7C44" w:rsidP="00FD32DC">
      <w:pPr>
        <w:spacing w:line="276" w:lineRule="auto"/>
        <w:ind w:firstLine="0"/>
        <w:rPr>
          <w:i/>
        </w:rPr>
      </w:pPr>
      <w:r w:rsidRPr="00EA7C44">
        <w:rPr>
          <w:i/>
        </w:rPr>
        <w:t xml:space="preserve">Wojewódzki Urząd Pracy w Szczecinie opracował także Zestawienie standardu i cen rynkowych wybranych wydatków i usług typowych dla konkursu w ramach Działania 1.2/Poddziałania 1.2.2, które określa standardy usług oraz ceny rynkowe najczęściej występujące w ramach projektów. Zestawienie to dostępne jest na stronie Wojewódzkiego Urzędu Pracy w Szczecinie </w:t>
      </w:r>
      <w:r>
        <w:rPr>
          <w:i/>
        </w:rPr>
        <w:br/>
      </w:r>
      <w:r w:rsidRPr="00EA7C44">
        <w:rPr>
          <w:i/>
        </w:rPr>
        <w:t>w aktualnościach.</w:t>
      </w:r>
    </w:p>
    <w:p w:rsidR="00EA7C44" w:rsidRPr="00EA7C44" w:rsidRDefault="00EA7C44" w:rsidP="00FD32DC">
      <w:pPr>
        <w:spacing w:line="276" w:lineRule="auto"/>
        <w:ind w:firstLine="0"/>
        <w:rPr>
          <w:i/>
        </w:rPr>
      </w:pPr>
      <w:r w:rsidRPr="00EA7C44">
        <w:rPr>
          <w:i/>
        </w:rPr>
        <w:lastRenderedPageBreak/>
        <w:t>Jednym z przykładowo określonych wydatków jest wydatek w postaci kosztu opieki nad dzieckiem, ujęty w punkcie 17 ww. dokumentu, który może zostać sfinansowany (jest wydatkiem kwalifikowanym), o ile jest uzasadniony potrzebami grupy docelowej tj. w związku z udziałem</w:t>
      </w:r>
      <w:r>
        <w:rPr>
          <w:i/>
        </w:rPr>
        <w:br/>
      </w:r>
      <w:r w:rsidRPr="00EA7C44">
        <w:rPr>
          <w:i/>
        </w:rPr>
        <w:t>w projekcie istnieje konieczność zapewnienia opieki nad dzieckiem lub osobą zależną. Koszt opieki nad dzieckiem wyceniony został na 10 zł/ godzinę.</w:t>
      </w:r>
    </w:p>
    <w:p w:rsidR="00EA7C44" w:rsidRPr="00EA7C44" w:rsidRDefault="00EA7C44" w:rsidP="00FD32DC">
      <w:pPr>
        <w:spacing w:line="276" w:lineRule="auto"/>
        <w:ind w:firstLine="0"/>
        <w:rPr>
          <w:i/>
        </w:rPr>
      </w:pPr>
      <w:r w:rsidRPr="00EA7C44">
        <w:rPr>
          <w:i/>
        </w:rPr>
        <w:t>Jeśli zatem w ramach projektu wsparciem objęte zostaną młode matki i zaistniałaby konieczność zapewnienia opieki nad ich dziećmi na czas uczestnictwa w stażu, to koszt takiej opieki mógłby zostać sfinansowany w ramach projektu, oczywiście jeśli informację o istnieniu takiej potrzeby zawarte zostaną we wniosku o dofinansowanie.</w:t>
      </w:r>
    </w:p>
    <w:p w:rsidR="00EA7C44" w:rsidRDefault="00EA7C44" w:rsidP="00EA7C44">
      <w:pPr>
        <w:pStyle w:val="Default"/>
        <w:rPr>
          <w:rFonts w:ascii="Calibri" w:hAnsi="Calibri" w:cs="Calibri"/>
          <w:sz w:val="22"/>
          <w:szCs w:val="22"/>
        </w:rPr>
      </w:pPr>
    </w:p>
    <w:p w:rsidR="00EA7C44" w:rsidRDefault="00EA7C44" w:rsidP="00EA7C44">
      <w:pPr>
        <w:pStyle w:val="Cytatintensywny"/>
      </w:pPr>
      <w:r>
        <w:t>Budżet/wkład własny/wartość projektu/kwalifikowalność</w:t>
      </w:r>
    </w:p>
    <w:p w:rsidR="00EA7C44" w:rsidRPr="00EA7C44" w:rsidRDefault="00EA7C44" w:rsidP="00FD32DC">
      <w:pPr>
        <w:pStyle w:val="NormalnyWeb"/>
        <w:spacing w:line="276" w:lineRule="auto"/>
        <w:jc w:val="both"/>
        <w:rPr>
          <w:rFonts w:asciiTheme="minorHAnsi" w:hAnsiTheme="minorHAnsi"/>
          <w:i/>
          <w:sz w:val="22"/>
          <w:szCs w:val="22"/>
        </w:rPr>
      </w:pPr>
      <w:r w:rsidRPr="00EA7C44">
        <w:rPr>
          <w:rStyle w:val="Uwydatnienie"/>
          <w:rFonts w:asciiTheme="minorHAnsi" w:hAnsiTheme="minorHAnsi"/>
          <w:b/>
          <w:bCs/>
          <w:i w:val="0"/>
          <w:sz w:val="22"/>
          <w:szCs w:val="22"/>
        </w:rPr>
        <w:t>Czy w ramach naboru narzucone zostały kwoty (min/max w PLN) wartości projektów?</w:t>
      </w:r>
      <w:r w:rsidRPr="00EA7C44">
        <w:rPr>
          <w:rStyle w:val="Pogrubienie"/>
          <w:rFonts w:asciiTheme="minorHAnsi" w:hAnsiTheme="minorHAnsi"/>
          <w:i/>
          <w:sz w:val="22"/>
          <w:szCs w:val="22"/>
        </w:rPr>
        <w:t xml:space="preserve"> </w:t>
      </w:r>
    </w:p>
    <w:p w:rsidR="003D0559" w:rsidRDefault="00EA7C44" w:rsidP="003D0559">
      <w:pPr>
        <w:pStyle w:val="NormalnyWeb"/>
        <w:spacing w:after="0" w:afterAutospacing="0" w:line="276" w:lineRule="auto"/>
        <w:jc w:val="both"/>
        <w:rPr>
          <w:rFonts w:asciiTheme="minorHAnsi" w:hAnsiTheme="minorHAnsi"/>
          <w:i/>
          <w:sz w:val="22"/>
          <w:szCs w:val="22"/>
        </w:rPr>
      </w:pPr>
      <w:r w:rsidRPr="00495839">
        <w:rPr>
          <w:rFonts w:asciiTheme="minorHAnsi" w:hAnsiTheme="minorHAnsi"/>
          <w:i/>
          <w:sz w:val="22"/>
          <w:szCs w:val="22"/>
        </w:rPr>
        <w:t xml:space="preserve">W Regulaminie naboru nie określono kwoty minimalnej/maksymalnej wartości projektu. </w:t>
      </w:r>
    </w:p>
    <w:p w:rsidR="003D0559" w:rsidRDefault="003D0559" w:rsidP="003D0559">
      <w:pPr>
        <w:pStyle w:val="NormalnyWeb"/>
        <w:pBdr>
          <w:bottom w:val="single" w:sz="4" w:space="1" w:color="auto"/>
        </w:pBdr>
        <w:spacing w:line="276" w:lineRule="auto"/>
        <w:jc w:val="both"/>
        <w:rPr>
          <w:rFonts w:asciiTheme="minorHAnsi" w:hAnsiTheme="minorHAnsi"/>
          <w:i/>
          <w:sz w:val="22"/>
          <w:szCs w:val="22"/>
        </w:rPr>
      </w:pPr>
    </w:p>
    <w:p w:rsidR="00EA7C44" w:rsidRPr="00EA7C44" w:rsidRDefault="00EA7C44" w:rsidP="00FD32DC">
      <w:pPr>
        <w:spacing w:line="276" w:lineRule="auto"/>
        <w:ind w:firstLine="0"/>
        <w:rPr>
          <w:rFonts w:ascii="Calibri" w:hAnsi="Calibri"/>
          <w:b/>
        </w:rPr>
      </w:pPr>
      <w:r w:rsidRPr="00EA7C44">
        <w:rPr>
          <w:rFonts w:ascii="Calibri" w:hAnsi="Calibri"/>
          <w:b/>
        </w:rPr>
        <w:t xml:space="preserve">Czy w ramach przedmiotowego konkursu obowiązuje wymóg dotyczący średniej wartości wsparcia na 1 uczestnika projektu? Jeśli tak, jaka jest jego maksymalna wartość </w:t>
      </w:r>
      <w:r>
        <w:rPr>
          <w:rFonts w:ascii="Calibri" w:hAnsi="Calibri"/>
          <w:b/>
        </w:rPr>
        <w:br/>
      </w:r>
      <w:r w:rsidRPr="00EA7C44">
        <w:rPr>
          <w:rFonts w:ascii="Calibri" w:hAnsi="Calibri"/>
          <w:b/>
        </w:rPr>
        <w:t>i czy uwzględnia ona koszty pośrednie?</w:t>
      </w:r>
    </w:p>
    <w:p w:rsidR="00EA7C44" w:rsidRDefault="00EA7C44" w:rsidP="00FD32DC">
      <w:pPr>
        <w:spacing w:line="276" w:lineRule="auto"/>
        <w:ind w:firstLine="0"/>
        <w:rPr>
          <w:rFonts w:ascii="Calibri" w:hAnsi="Calibri"/>
          <w:i/>
        </w:rPr>
      </w:pPr>
    </w:p>
    <w:p w:rsidR="00EA7C44" w:rsidRPr="00D75A0B" w:rsidRDefault="00EA7C44" w:rsidP="00FD32DC">
      <w:pPr>
        <w:spacing w:line="276" w:lineRule="auto"/>
        <w:ind w:firstLine="0"/>
        <w:rPr>
          <w:rFonts w:ascii="Calibri" w:hAnsi="Calibri"/>
          <w:i/>
        </w:rPr>
      </w:pPr>
      <w:r w:rsidRPr="00D75A0B">
        <w:rPr>
          <w:rFonts w:ascii="Calibri" w:hAnsi="Calibri"/>
          <w:i/>
        </w:rPr>
        <w:t xml:space="preserve">Regulamin konkursu </w:t>
      </w:r>
      <w:r w:rsidRPr="0098222B">
        <w:rPr>
          <w:rFonts w:ascii="Calibri" w:hAnsi="Calibri"/>
          <w:bCs/>
          <w:i/>
        </w:rPr>
        <w:t>nie określa</w:t>
      </w:r>
      <w:r w:rsidRPr="00D75A0B">
        <w:rPr>
          <w:rFonts w:ascii="Calibri" w:hAnsi="Calibri"/>
          <w:i/>
        </w:rPr>
        <w:t xml:space="preserve"> średniej wartości wsparcia na jednego uczestnika projektu. Projektodawca powinien jednak posiłkować się załącznikiem 5.12 do Regulaminu konkursu </w:t>
      </w:r>
      <w:r>
        <w:rPr>
          <w:rFonts w:ascii="Calibri" w:hAnsi="Calibri"/>
          <w:i/>
        </w:rPr>
        <w:br/>
      </w:r>
      <w:r w:rsidRPr="00D75A0B">
        <w:rPr>
          <w:rFonts w:ascii="Calibri" w:hAnsi="Calibri"/>
          <w:i/>
        </w:rPr>
        <w:t xml:space="preserve">nr POWR.01.02.02-IP.22-32-002/15 </w:t>
      </w:r>
      <w:r w:rsidRPr="00D75A0B">
        <w:rPr>
          <w:rFonts w:ascii="Calibri" w:hAnsi="Calibri"/>
          <w:i/>
          <w:iCs/>
        </w:rPr>
        <w:t>Zestawienie standardu i cen rynkowych wybranych wydatków i usług typowych dla konkursu w ramach Działania 1.2/Poddziałania 1.2.2</w:t>
      </w:r>
      <w:r w:rsidRPr="00D75A0B">
        <w:rPr>
          <w:rFonts w:ascii="Calibri" w:hAnsi="Calibri"/>
          <w:i/>
        </w:rPr>
        <w:t xml:space="preserve">. Oceniający zobowiązani będą do dokonywania oceny kwalifikowalności, racjonalności i efektywności wszystkich wydatków ujętych w budżetach, także kierując się każdorazowo niniejszym dokumentem, dostępnym na stornie internetowej </w:t>
      </w:r>
      <w:hyperlink r:id="rId9" w:history="1">
        <w:r w:rsidRPr="00D75A0B">
          <w:rPr>
            <w:rStyle w:val="Hipercze"/>
            <w:rFonts w:ascii="Calibri" w:hAnsi="Calibri"/>
            <w:i/>
            <w:color w:val="auto"/>
          </w:rPr>
          <w:t>www.wup.pl</w:t>
        </w:r>
      </w:hyperlink>
      <w:r w:rsidRPr="00D75A0B">
        <w:rPr>
          <w:rFonts w:ascii="Calibri" w:hAnsi="Calibri"/>
          <w:i/>
        </w:rPr>
        <w:t>.</w:t>
      </w:r>
    </w:p>
    <w:p w:rsidR="00EA7C44" w:rsidRDefault="00EA7C44" w:rsidP="003D0559">
      <w:pPr>
        <w:pStyle w:val="Default"/>
        <w:pBdr>
          <w:bottom w:val="single" w:sz="4" w:space="1" w:color="auto"/>
        </w:pBdr>
        <w:spacing w:line="276" w:lineRule="auto"/>
        <w:jc w:val="both"/>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w koszty pośrednie wchodzą koszty promocji projektu?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Tak, koszty promocji projektu stanowią koszty pośrednie projektu i wyłącznie w ich ramach </w:t>
      </w:r>
      <w:r>
        <w:rPr>
          <w:rFonts w:ascii="Calibri" w:hAnsi="Calibri" w:cs="Calibri"/>
          <w:i/>
          <w:iCs/>
          <w:sz w:val="22"/>
          <w:szCs w:val="22"/>
        </w:rPr>
        <w:br/>
        <w:t xml:space="preserve">są kosztami kwalifikowalnymi. </w:t>
      </w:r>
    </w:p>
    <w:p w:rsidR="00EA7C44" w:rsidRDefault="00EA7C44" w:rsidP="003D0559">
      <w:pPr>
        <w:pStyle w:val="Default"/>
        <w:pBdr>
          <w:bottom w:val="single" w:sz="4" w:space="1" w:color="auto"/>
        </w:pBdr>
        <w:spacing w:line="276" w:lineRule="auto"/>
        <w:jc w:val="both"/>
        <w:rPr>
          <w:rFonts w:ascii="Calibri" w:hAnsi="Calibri" w:cs="Calibri"/>
          <w:sz w:val="22"/>
          <w:szCs w:val="22"/>
        </w:rPr>
      </w:pPr>
    </w:p>
    <w:p w:rsidR="003D0559" w:rsidRDefault="003D0559" w:rsidP="00FD32DC">
      <w:pPr>
        <w:pStyle w:val="Default"/>
        <w:spacing w:line="276" w:lineRule="auto"/>
        <w:jc w:val="both"/>
        <w:rPr>
          <w:rFonts w:ascii="Calibri" w:hAnsi="Calibri" w:cs="Calibri"/>
          <w:b/>
          <w:bCs/>
          <w:sz w:val="22"/>
          <w:szCs w:val="22"/>
        </w:rPr>
      </w:pPr>
    </w:p>
    <w:p w:rsidR="00171942" w:rsidRDefault="00171942" w:rsidP="00FD32DC">
      <w:pPr>
        <w:pStyle w:val="Default"/>
        <w:spacing w:line="276" w:lineRule="auto"/>
        <w:jc w:val="both"/>
        <w:rPr>
          <w:rFonts w:ascii="Calibri" w:hAnsi="Calibri" w:cs="Calibri"/>
          <w:b/>
          <w:bCs/>
          <w:sz w:val="22"/>
          <w:szCs w:val="22"/>
        </w:rPr>
      </w:pPr>
    </w:p>
    <w:p w:rsidR="00171942" w:rsidRDefault="00171942"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lastRenderedPageBreak/>
        <w:t xml:space="preserve">Czy podane kwoty są wypłacane uczestnikowi czy zawierają kwoty ZUS ?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Kwoty wypłacane uczestnikowi np. z tytułu odbywania przez niego stażu lub szkolenia </w:t>
      </w:r>
      <w:r>
        <w:rPr>
          <w:rFonts w:ascii="Calibri" w:hAnsi="Calibri" w:cs="Calibri"/>
          <w:i/>
          <w:iCs/>
          <w:sz w:val="22"/>
          <w:szCs w:val="22"/>
        </w:rPr>
        <w:br/>
        <w:t xml:space="preserve">(tj. stypendium stażowe i stypendium szkoleniowe) są kwotami nie zawierającymi kwoty ZUS. </w:t>
      </w:r>
    </w:p>
    <w:p w:rsidR="00EA7C44" w:rsidRDefault="00EA7C44" w:rsidP="003D0559">
      <w:pPr>
        <w:pStyle w:val="Default"/>
        <w:pBdr>
          <w:bottom w:val="single" w:sz="4" w:space="1" w:color="auto"/>
        </w:pBdr>
        <w:spacing w:line="276" w:lineRule="auto"/>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niezrealizowanie kwoty ryczałtowej w 100% (np. założono wskaźnik 15 staży- zrealizowano 14 staży) oznacza </w:t>
      </w:r>
      <w:proofErr w:type="spellStart"/>
      <w:r>
        <w:rPr>
          <w:rFonts w:ascii="Calibri" w:hAnsi="Calibri" w:cs="Calibri"/>
          <w:b/>
          <w:bCs/>
          <w:sz w:val="22"/>
          <w:szCs w:val="22"/>
        </w:rPr>
        <w:t>niekwalifikowalność</w:t>
      </w:r>
      <w:proofErr w:type="spellEnd"/>
      <w:r>
        <w:rPr>
          <w:rFonts w:ascii="Calibri" w:hAnsi="Calibri" w:cs="Calibri"/>
          <w:b/>
          <w:bCs/>
          <w:sz w:val="22"/>
          <w:szCs w:val="22"/>
        </w:rPr>
        <w:t xml:space="preserve"> 100% kwoty ryczałtowej czy proporcjonalnie 1/15 wartości kwoty ryczałtowej?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Zgodnie z Wytycznymi w zakresie kwalifikowalności wydatków w ramach Europejskiego Funduszu Rozwoju Regionalnego, Europejskiego Funduszu Społecznego oraz Funduszu Spójności na lata 2014-2020 z dnia 10 kwietnia 2015 r., „w przypadku niezrealizowania w pełni wskaźników produktu lub rezultatu objętych kwotami ryczałtowymi, dana kwota jest uznana </w:t>
      </w:r>
      <w:r>
        <w:rPr>
          <w:rFonts w:ascii="Calibri" w:hAnsi="Calibri" w:cs="Calibri"/>
          <w:i/>
          <w:iCs/>
          <w:sz w:val="22"/>
          <w:szCs w:val="22"/>
        </w:rPr>
        <w:br/>
        <w:t xml:space="preserve">za niekwalifikowalną (rozlicznie w systemie „spełnia – nie spełnia”)”. Nieosiągnięcie zatem wskaźnika na zaplanowanym poziomie spowoduje uznanie danej kwoty ryczałtowej </w:t>
      </w:r>
      <w:r>
        <w:rPr>
          <w:rFonts w:ascii="Calibri" w:hAnsi="Calibri" w:cs="Calibri"/>
          <w:i/>
          <w:iCs/>
          <w:sz w:val="22"/>
          <w:szCs w:val="22"/>
        </w:rPr>
        <w:br/>
        <w:t xml:space="preserve">za niekwalifikowalną. </w:t>
      </w:r>
    </w:p>
    <w:p w:rsidR="00EA7C44" w:rsidRDefault="00EA7C44" w:rsidP="003D0559">
      <w:pPr>
        <w:pStyle w:val="Default"/>
        <w:pBdr>
          <w:bottom w:val="single" w:sz="4" w:space="1" w:color="auto"/>
        </w:pBdr>
        <w:spacing w:line="276" w:lineRule="auto"/>
        <w:jc w:val="both"/>
        <w:rPr>
          <w:rFonts w:ascii="Calibri" w:hAnsi="Calibri" w:cs="Calibri"/>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w przypadku kwot ryczałtowych należy uzasadniać wszystkie wydatki przyporządkowane do poszczególnych zadań?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Tak, w przypadku projektów rozlicznych na podstawie kwot ryczałtowych w polu „Uzasadnienie poszczególnych wydatków wykazywanych w szczegółowym budżecie (w przypadku kwot ryczałtowych pole obligatoryjne, w pozostałych przypadkach pole nieobligatoryjne).” Należy uzasadnić wszystkie wydatki ponoszone w ramach poszczególnych kwot ryczałtowych. </w:t>
      </w:r>
    </w:p>
    <w:p w:rsidR="00EA7C44" w:rsidRDefault="00EA7C44" w:rsidP="003D0559">
      <w:pPr>
        <w:pStyle w:val="Default"/>
        <w:pBdr>
          <w:bottom w:val="single" w:sz="4" w:space="1" w:color="auto"/>
        </w:pBdr>
        <w:spacing w:line="276" w:lineRule="auto"/>
        <w:jc w:val="both"/>
        <w:rPr>
          <w:rFonts w:ascii="Calibri" w:hAnsi="Calibri" w:cs="Calibri"/>
          <w:sz w:val="22"/>
          <w:szCs w:val="22"/>
        </w:rPr>
      </w:pPr>
    </w:p>
    <w:p w:rsidR="003D0559" w:rsidRDefault="003D0559" w:rsidP="00FD32DC">
      <w:pPr>
        <w:pStyle w:val="Default"/>
        <w:spacing w:line="276" w:lineRule="auto"/>
        <w:jc w:val="both"/>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koszty rekrutacji mogą zostać ujęte w ramach kosztów bezpośrednich?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Koszty personelu obsługowego oraz personelu administracyjnego zajmującego się rekrutacją należy wykazywać wyłącznie w ramach kosztów pośrednich, natomiast koszty identyfikacji potrzeb grupy docelowej przy rekrutacji w tym np. wynagrodzenie psychologa mogą stanowić wydatek w ramach kosztów bezpośrednich o ile będą zasadne. Należy jednak podkreślić że każdy wydatek związany z procesem rekrutacji wykazany w ramach kosztów bezpośrednich będzie podlegał indywidualnej ocenie w oparciu o zapisy zawarte we wniosku. </w:t>
      </w:r>
    </w:p>
    <w:p w:rsidR="00EA7C44" w:rsidRDefault="00EA7C44" w:rsidP="003D0559">
      <w:pPr>
        <w:pStyle w:val="Default"/>
        <w:pBdr>
          <w:bottom w:val="single" w:sz="4" w:space="1" w:color="auto"/>
        </w:pBdr>
        <w:spacing w:line="276" w:lineRule="auto"/>
        <w:jc w:val="both"/>
        <w:rPr>
          <w:sz w:val="22"/>
          <w:szCs w:val="22"/>
        </w:rPr>
      </w:pPr>
    </w:p>
    <w:p w:rsidR="003D0559" w:rsidRDefault="003D0559" w:rsidP="00FD32DC">
      <w:pPr>
        <w:pStyle w:val="Default"/>
        <w:spacing w:line="276" w:lineRule="auto"/>
        <w:jc w:val="both"/>
        <w:rPr>
          <w:rFonts w:ascii="Calibri" w:hAnsi="Calibri" w:cs="Calibri"/>
          <w:b/>
          <w:bCs/>
          <w:sz w:val="22"/>
          <w:szCs w:val="22"/>
        </w:rPr>
      </w:pPr>
    </w:p>
    <w:p w:rsidR="002F5010" w:rsidRDefault="002F5010"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lastRenderedPageBreak/>
        <w:t xml:space="preserve">W jaki sposób sporządza się budżet szczegółowy w ramach kwot ryczałtowych? </w:t>
      </w:r>
      <w:r>
        <w:rPr>
          <w:rFonts w:ascii="Calibri" w:hAnsi="Calibri" w:cs="Calibri"/>
          <w:b/>
          <w:bCs/>
          <w:sz w:val="22"/>
          <w:szCs w:val="22"/>
        </w:rPr>
        <w:br/>
        <w:t xml:space="preserve">Czy np. w zadaniu „staże” należy wpisać stypendium stażowe, zwrot kosztów dojazdu na staż itp.?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Budżet szczegółowy projektu w przypadku kwot ryczałtowych wypełnia się w sposób analogiczny jak w projektach nieobjętych kwotami ryczałtowymi. W budżecie szczegółowym należy wprowadzić poszczególne wydatki ponoszone w ramach konkretnego zadania (budżet zadaniowy). Jeżeli zatem w ramach zadnia przewidziano wypłatę stypendium stażowego </w:t>
      </w:r>
      <w:r>
        <w:rPr>
          <w:rFonts w:ascii="Calibri" w:hAnsi="Calibri" w:cs="Calibri"/>
          <w:i/>
          <w:iCs/>
          <w:sz w:val="22"/>
          <w:szCs w:val="22"/>
        </w:rPr>
        <w:br/>
        <w:t xml:space="preserve">oraz koszt dojazdu na staż to wydatki te należy wykazać w budżecie szczegółowym. Dodatkowo w przypadku projektów rozliczanych na podstawie kwot ryczałtowych zgodne z Instrukcją wypełniania wniosków w ramach Programu Operacyjnego Wiedza Edukacja Rozwój 2014-2020 należy uzasadnić każdy wydatek, który mamy zamiar rozliczać kwotą ryczałtową. </w:t>
      </w:r>
    </w:p>
    <w:p w:rsidR="00EA7C44" w:rsidRDefault="00EA7C44" w:rsidP="003D0559">
      <w:pPr>
        <w:pStyle w:val="Default"/>
        <w:pBdr>
          <w:bottom w:val="single" w:sz="4" w:space="1" w:color="auto"/>
        </w:pBdr>
        <w:spacing w:line="276" w:lineRule="auto"/>
        <w:jc w:val="both"/>
        <w:rPr>
          <w:rFonts w:ascii="Calibri" w:hAnsi="Calibri" w:cs="Calibri"/>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można założyć zakup laptopa dla kierownika szkoleń jako środek trwały?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Tak, zgodnie z Pkt 8.4, </w:t>
      </w:r>
      <w:proofErr w:type="spellStart"/>
      <w:r>
        <w:rPr>
          <w:rFonts w:ascii="Calibri" w:hAnsi="Calibri" w:cs="Calibri"/>
          <w:i/>
          <w:iCs/>
          <w:sz w:val="22"/>
          <w:szCs w:val="22"/>
        </w:rPr>
        <w:t>ppkt</w:t>
      </w:r>
      <w:proofErr w:type="spellEnd"/>
      <w:r>
        <w:rPr>
          <w:rFonts w:ascii="Calibri" w:hAnsi="Calibri" w:cs="Calibri"/>
          <w:i/>
          <w:iCs/>
          <w:sz w:val="22"/>
          <w:szCs w:val="22"/>
        </w:rPr>
        <w:t xml:space="preserve"> 2h) Wytycznych w zakresie kwalifikowalności wydatków w ramach Europejskiego Funduszu Rozwoju Regionalnego, Europejskiego Funduszu Społecznego oraz Funduszu Spójności na lata 2014-2020 z dnia 10 kwietnia 2015 r., </w:t>
      </w:r>
      <w:r w:rsidR="002F5010">
        <w:rPr>
          <w:rFonts w:ascii="Calibri" w:hAnsi="Calibri" w:cs="Calibri"/>
          <w:i/>
          <w:iCs/>
          <w:sz w:val="22"/>
          <w:szCs w:val="22"/>
        </w:rPr>
        <w:t>a</w:t>
      </w:r>
      <w:r>
        <w:rPr>
          <w:rFonts w:ascii="Calibri" w:hAnsi="Calibri" w:cs="Calibri"/>
          <w:i/>
          <w:iCs/>
          <w:sz w:val="22"/>
          <w:szCs w:val="22"/>
        </w:rPr>
        <w:t xml:space="preserve">mortyzacja, najem lub zakup aktywów (środków trwałych i wartości niematerialnych i prawnych) używanych na potrzeby personelu projektu, o którym mowa w pkt 8.4 </w:t>
      </w:r>
      <w:proofErr w:type="spellStart"/>
      <w:r>
        <w:rPr>
          <w:rFonts w:ascii="Calibri" w:hAnsi="Calibri" w:cs="Calibri"/>
          <w:i/>
          <w:iCs/>
          <w:sz w:val="22"/>
          <w:szCs w:val="22"/>
        </w:rPr>
        <w:t>ppkt</w:t>
      </w:r>
      <w:proofErr w:type="spellEnd"/>
      <w:r>
        <w:rPr>
          <w:rFonts w:ascii="Calibri" w:hAnsi="Calibri" w:cs="Calibri"/>
          <w:i/>
          <w:iCs/>
          <w:sz w:val="22"/>
          <w:szCs w:val="22"/>
        </w:rPr>
        <w:t xml:space="preserve"> 2 a)-d) stanowi koszt administracyjny związany z obsługą projektu wykazywany w kosztach pośrednich projektu. </w:t>
      </w:r>
    </w:p>
    <w:p w:rsidR="00EA7C44" w:rsidRDefault="00EA7C44" w:rsidP="00EA7C44">
      <w:pPr>
        <w:pStyle w:val="Default"/>
        <w:rPr>
          <w:rFonts w:ascii="Calibri" w:hAnsi="Calibri" w:cs="Calibri"/>
          <w:sz w:val="22"/>
          <w:szCs w:val="22"/>
        </w:rPr>
      </w:pPr>
    </w:p>
    <w:p w:rsidR="00EA7C44" w:rsidRDefault="00EA7C44" w:rsidP="00EA7C44">
      <w:pPr>
        <w:pStyle w:val="Cytatintensywny"/>
      </w:pPr>
      <w:r>
        <w:t>Pozostałe</w:t>
      </w:r>
    </w:p>
    <w:p w:rsidR="00EA7C44" w:rsidRDefault="00EA7C44" w:rsidP="00FD32DC">
      <w:pPr>
        <w:pStyle w:val="Default"/>
        <w:spacing w:line="276" w:lineRule="auto"/>
        <w:rPr>
          <w:rFonts w:ascii="Calibri" w:hAnsi="Calibri" w:cs="Calibri"/>
          <w:sz w:val="22"/>
          <w:szCs w:val="22"/>
        </w:rPr>
      </w:pPr>
      <w:r>
        <w:rPr>
          <w:rFonts w:ascii="Calibri" w:hAnsi="Calibri" w:cs="Calibri"/>
          <w:b/>
          <w:bCs/>
          <w:sz w:val="22"/>
          <w:szCs w:val="22"/>
        </w:rPr>
        <w:t xml:space="preserve">Czy jedna instytucja może złożyć dwa lub więcej wniosków ? </w:t>
      </w:r>
    </w:p>
    <w:p w:rsidR="00EA7C44" w:rsidRDefault="00EA7C44" w:rsidP="00FD32DC">
      <w:pPr>
        <w:pStyle w:val="Default"/>
        <w:spacing w:line="276" w:lineRule="auto"/>
        <w:rPr>
          <w:rFonts w:ascii="Calibri" w:hAnsi="Calibri" w:cs="Calibri"/>
          <w:sz w:val="22"/>
          <w:szCs w:val="22"/>
        </w:rPr>
      </w:pPr>
    </w:p>
    <w:p w:rsidR="00EA7C44" w:rsidRDefault="00EA7C44" w:rsidP="0098222B">
      <w:pPr>
        <w:pStyle w:val="Default"/>
        <w:spacing w:line="276" w:lineRule="auto"/>
        <w:rPr>
          <w:rFonts w:ascii="Calibri" w:hAnsi="Calibri" w:cs="Calibri"/>
          <w:i/>
          <w:iCs/>
          <w:sz w:val="22"/>
          <w:szCs w:val="22"/>
        </w:rPr>
      </w:pPr>
      <w:r>
        <w:rPr>
          <w:rFonts w:ascii="Calibri" w:hAnsi="Calibri" w:cs="Calibri"/>
          <w:i/>
          <w:iCs/>
          <w:sz w:val="22"/>
          <w:szCs w:val="22"/>
        </w:rPr>
        <w:t xml:space="preserve">Tak. Regulamin naboru nie ograniczył możliwej liczby składania wniosków. </w:t>
      </w:r>
    </w:p>
    <w:p w:rsidR="003D0559" w:rsidRDefault="003D0559" w:rsidP="00FD32DC">
      <w:pPr>
        <w:spacing w:line="276" w:lineRule="auto"/>
        <w:ind w:firstLine="0"/>
        <w:rPr>
          <w:rFonts w:ascii="Calibri" w:hAnsi="Calibri"/>
          <w:b/>
        </w:rPr>
      </w:pPr>
    </w:p>
    <w:p w:rsidR="00EA7C44" w:rsidRPr="00C944AE" w:rsidRDefault="00EA7C44" w:rsidP="00FD32DC">
      <w:pPr>
        <w:spacing w:line="276" w:lineRule="auto"/>
        <w:ind w:firstLine="0"/>
        <w:rPr>
          <w:rFonts w:ascii="Calibri" w:hAnsi="Calibri"/>
          <w:b/>
        </w:rPr>
      </w:pPr>
      <w:r w:rsidRPr="00C944AE">
        <w:rPr>
          <w:rFonts w:ascii="Calibri" w:hAnsi="Calibri"/>
          <w:b/>
        </w:rPr>
        <w:t>Czy w ramach przedmiotowego konkursu obowiązuje wymóg dotyczący minimalnej długości trwania projektu?</w:t>
      </w:r>
    </w:p>
    <w:p w:rsidR="00EA7C44" w:rsidRDefault="00EA7C44" w:rsidP="00FD32DC">
      <w:pPr>
        <w:spacing w:line="276" w:lineRule="auto"/>
        <w:ind w:firstLine="0"/>
        <w:rPr>
          <w:rFonts w:ascii="Calibri" w:hAnsi="Calibri"/>
          <w:i/>
        </w:rPr>
      </w:pPr>
    </w:p>
    <w:p w:rsidR="00EA7C44" w:rsidRDefault="00EA7C44" w:rsidP="00FD32DC">
      <w:pPr>
        <w:spacing w:line="276" w:lineRule="auto"/>
        <w:ind w:firstLine="0"/>
        <w:rPr>
          <w:rFonts w:ascii="Calibri" w:hAnsi="Calibri"/>
          <w:i/>
        </w:rPr>
      </w:pPr>
      <w:r w:rsidRPr="00C944AE">
        <w:rPr>
          <w:rFonts w:ascii="Calibri" w:hAnsi="Calibri"/>
          <w:i/>
        </w:rPr>
        <w:t xml:space="preserve">Regulamin konkursu </w:t>
      </w:r>
      <w:r w:rsidRPr="00C944AE">
        <w:rPr>
          <w:rFonts w:ascii="Calibri" w:hAnsi="Calibri"/>
          <w:bCs/>
          <w:i/>
        </w:rPr>
        <w:t xml:space="preserve">nie określa minimalnego okresu trwania projektu. </w:t>
      </w:r>
      <w:r w:rsidRPr="00C944AE">
        <w:rPr>
          <w:rFonts w:ascii="Calibri" w:hAnsi="Calibri"/>
          <w:i/>
        </w:rPr>
        <w:t>Decyzję o długości trwania projektu podejmuje samodzielnie projektodawca, a jej racjonalność zostanie oceniona przez Komisję Oceny Projektów danego konkursu.</w:t>
      </w:r>
    </w:p>
    <w:p w:rsidR="00EA7C44" w:rsidRDefault="00EA7C44" w:rsidP="003D0559">
      <w:pPr>
        <w:pBdr>
          <w:bottom w:val="single" w:sz="4" w:space="1" w:color="auto"/>
        </w:pBdr>
        <w:spacing w:line="276" w:lineRule="auto"/>
        <w:ind w:firstLine="0"/>
        <w:rPr>
          <w:rFonts w:ascii="Calibri" w:hAnsi="Calibri"/>
          <w:b/>
        </w:rPr>
      </w:pPr>
    </w:p>
    <w:p w:rsidR="003D0559" w:rsidRDefault="003D0559" w:rsidP="00FD32DC">
      <w:pPr>
        <w:spacing w:line="276" w:lineRule="auto"/>
        <w:ind w:firstLine="0"/>
        <w:rPr>
          <w:rFonts w:ascii="Calibri" w:hAnsi="Calibri"/>
          <w:b/>
        </w:rPr>
      </w:pPr>
    </w:p>
    <w:p w:rsidR="00171942" w:rsidRDefault="00171942" w:rsidP="00FD32DC">
      <w:pPr>
        <w:spacing w:line="276" w:lineRule="auto"/>
        <w:ind w:firstLine="0"/>
        <w:rPr>
          <w:rFonts w:ascii="Calibri" w:hAnsi="Calibri"/>
          <w:b/>
        </w:rPr>
      </w:pPr>
    </w:p>
    <w:p w:rsidR="00EA7C44" w:rsidRPr="00402054" w:rsidRDefault="00EA7C44" w:rsidP="00FD32DC">
      <w:pPr>
        <w:spacing w:line="276" w:lineRule="auto"/>
        <w:ind w:firstLine="0"/>
        <w:rPr>
          <w:rFonts w:ascii="Calibri" w:hAnsi="Calibri"/>
          <w:b/>
        </w:rPr>
      </w:pPr>
      <w:r w:rsidRPr="00402054">
        <w:rPr>
          <w:rFonts w:ascii="Calibri" w:hAnsi="Calibri"/>
          <w:b/>
        </w:rPr>
        <w:t xml:space="preserve">Czy w odniesieniu do kryterium premiującego 4 Wnioskodawca może wykazać wiedzę </w:t>
      </w:r>
      <w:r w:rsidR="009B49E3">
        <w:rPr>
          <w:rFonts w:ascii="Calibri" w:hAnsi="Calibri"/>
          <w:b/>
        </w:rPr>
        <w:br/>
      </w:r>
      <w:r w:rsidRPr="00402054">
        <w:rPr>
          <w:rFonts w:ascii="Calibri" w:hAnsi="Calibri"/>
          <w:b/>
        </w:rPr>
        <w:t xml:space="preserve">i doświadczenie w zakresie wsparcia osób młodych w wieku 15-29 lat, które są jedynie </w:t>
      </w:r>
      <w:r w:rsidR="00171942">
        <w:rPr>
          <w:rFonts w:ascii="Calibri" w:hAnsi="Calibri"/>
          <w:b/>
        </w:rPr>
        <w:br/>
      </w:r>
      <w:r w:rsidRPr="00402054">
        <w:rPr>
          <w:rFonts w:ascii="Calibri" w:hAnsi="Calibri"/>
          <w:b/>
        </w:rPr>
        <w:lastRenderedPageBreak/>
        <w:t>np. bezrobotne? Czy obligatoryjne jest posiadanie wiedzy i doświadczenia w odniesieniu do osób młodych w wieku 15-29 lat, które spełniają łącznie trzy warunki, tj. nie pracują, nie kształcą się i nie szkolą?</w:t>
      </w:r>
    </w:p>
    <w:p w:rsidR="00EA7C44" w:rsidRDefault="00EA7C44" w:rsidP="00FD32DC">
      <w:pPr>
        <w:spacing w:line="276" w:lineRule="auto"/>
        <w:ind w:firstLine="0"/>
        <w:rPr>
          <w:rFonts w:ascii="Calibri" w:hAnsi="Calibri"/>
          <w:i/>
        </w:rPr>
      </w:pPr>
    </w:p>
    <w:p w:rsidR="00EA7C44" w:rsidRPr="00402054" w:rsidRDefault="00EA7C44" w:rsidP="00FD32DC">
      <w:pPr>
        <w:spacing w:line="276" w:lineRule="auto"/>
        <w:ind w:firstLine="0"/>
        <w:rPr>
          <w:rFonts w:ascii="Calibri" w:hAnsi="Calibri"/>
          <w:i/>
        </w:rPr>
      </w:pPr>
      <w:r w:rsidRPr="00402054">
        <w:rPr>
          <w:rFonts w:ascii="Calibri" w:hAnsi="Calibri"/>
          <w:i/>
        </w:rPr>
        <w:t xml:space="preserve">Regulamin konkursu w </w:t>
      </w:r>
      <w:r w:rsidRPr="00402054">
        <w:rPr>
          <w:rFonts w:ascii="Calibri" w:hAnsi="Calibri"/>
          <w:i/>
          <w:iCs/>
        </w:rPr>
        <w:t xml:space="preserve">Rozdziale 3.3 Zalecenia dotyczące spełniania kryteriów </w:t>
      </w:r>
      <w:r w:rsidRPr="00402054">
        <w:rPr>
          <w:rFonts w:ascii="Calibri" w:hAnsi="Calibri"/>
          <w:i/>
        </w:rPr>
        <w:t xml:space="preserve">określa wszystkie kryteria (w tym także premiujące) wraz z uwagami dotyczącymi ich spełnienie. I tak dla kryterium premiującego 4. </w:t>
      </w:r>
      <w:r w:rsidRPr="00402054">
        <w:rPr>
          <w:rFonts w:ascii="Calibri" w:hAnsi="Calibri"/>
          <w:i/>
          <w:iCs/>
        </w:rPr>
        <w:t>Projektodawca lub Partner posiada doświadczenie w prowadzeniu działalności, w obszarze, którego dotyczy projekt tzn. w aktywizacji osób poniżej 30 roku życia, na terenie województwa zachodniopomorskiego</w:t>
      </w:r>
      <w:r w:rsidRPr="00402054">
        <w:rPr>
          <w:rFonts w:ascii="Calibri" w:hAnsi="Calibri"/>
          <w:i/>
        </w:rPr>
        <w:t xml:space="preserve"> przewidziano, że:</w:t>
      </w:r>
    </w:p>
    <w:p w:rsidR="00EA7C44" w:rsidRPr="00402054" w:rsidRDefault="00EA7C44" w:rsidP="00FD32DC">
      <w:pPr>
        <w:spacing w:line="276" w:lineRule="auto"/>
        <w:ind w:firstLine="0"/>
        <w:rPr>
          <w:rFonts w:ascii="Calibri" w:hAnsi="Calibri"/>
          <w:i/>
        </w:rPr>
      </w:pPr>
      <w:r w:rsidRPr="00402054">
        <w:rPr>
          <w:rFonts w:ascii="Calibri" w:hAnsi="Calibri"/>
          <w:i/>
        </w:rPr>
        <w:t xml:space="preserve">- </w:t>
      </w:r>
      <w:r w:rsidRPr="00402054">
        <w:rPr>
          <w:rFonts w:ascii="Calibri" w:hAnsi="Calibri"/>
          <w:i/>
          <w:iCs/>
        </w:rPr>
        <w:t xml:space="preserve">kryterium umożliwi realizację projektów przez podmioty, które mają wiedzę i doświadczenie </w:t>
      </w:r>
      <w:r w:rsidR="009B49E3">
        <w:rPr>
          <w:rFonts w:ascii="Calibri" w:hAnsi="Calibri"/>
          <w:i/>
          <w:iCs/>
        </w:rPr>
        <w:br/>
      </w:r>
      <w:r w:rsidRPr="00402054">
        <w:rPr>
          <w:rFonts w:ascii="Calibri" w:hAnsi="Calibri"/>
          <w:i/>
          <w:iCs/>
        </w:rPr>
        <w:t xml:space="preserve">w zakresie wsparcie osób młodych w wieku 15-29 lat, które spełniają łącznie trzy warunki, czyli nie pracują (tj. są bezrobotni lub bierni zawodowo), nie kształcą się (tj. nie uczestniczą </w:t>
      </w:r>
      <w:r w:rsidR="009B49E3">
        <w:rPr>
          <w:rFonts w:ascii="Calibri" w:hAnsi="Calibri"/>
          <w:i/>
          <w:iCs/>
        </w:rPr>
        <w:br/>
      </w:r>
      <w:r w:rsidRPr="00402054">
        <w:rPr>
          <w:rFonts w:ascii="Calibri" w:hAnsi="Calibri"/>
          <w:i/>
          <w:iCs/>
        </w:rPr>
        <w:t xml:space="preserve">w kształceniu formalnym w trybie stacjonarnym) ani nie szkolą się (tj. nie uczestniczą </w:t>
      </w:r>
      <w:r w:rsidR="009B49E3">
        <w:rPr>
          <w:rFonts w:ascii="Calibri" w:hAnsi="Calibri"/>
          <w:i/>
          <w:iCs/>
        </w:rPr>
        <w:br/>
      </w:r>
      <w:r w:rsidRPr="00402054">
        <w:rPr>
          <w:rFonts w:ascii="Calibri" w:hAnsi="Calibri"/>
          <w:i/>
          <w:iCs/>
        </w:rPr>
        <w:t>w pozaszkolnych zajęciach mających na celu uzyskanie, uzupełnienie lub doskonalenie umiejętności i kwalifikacji zawodowych lub ogólnych, potrzebnych do wykonywania pracy),</w:t>
      </w:r>
    </w:p>
    <w:p w:rsidR="00EA7C44" w:rsidRPr="00402054" w:rsidRDefault="00EA7C44" w:rsidP="00FD32DC">
      <w:pPr>
        <w:spacing w:line="276" w:lineRule="auto"/>
        <w:ind w:firstLine="0"/>
        <w:rPr>
          <w:rFonts w:ascii="Calibri" w:hAnsi="Calibri"/>
          <w:i/>
        </w:rPr>
      </w:pPr>
      <w:r w:rsidRPr="00402054">
        <w:rPr>
          <w:rFonts w:ascii="Calibri" w:hAnsi="Calibri"/>
          <w:i/>
        </w:rPr>
        <w:t>oraz</w:t>
      </w:r>
    </w:p>
    <w:p w:rsidR="00EA7C44" w:rsidRPr="00402054" w:rsidRDefault="00EA7C44" w:rsidP="00FD32DC">
      <w:pPr>
        <w:spacing w:line="276" w:lineRule="auto"/>
        <w:ind w:firstLine="0"/>
        <w:rPr>
          <w:rFonts w:ascii="Calibri" w:hAnsi="Calibri"/>
          <w:i/>
          <w:iCs/>
        </w:rPr>
      </w:pPr>
      <w:r w:rsidRPr="00402054">
        <w:rPr>
          <w:rFonts w:ascii="Calibri" w:hAnsi="Calibri"/>
          <w:i/>
          <w:iCs/>
        </w:rPr>
        <w:t>- rozwiązanie takie podwyższy efektywność planowanych działań, a także zwiększy gwarancję zastosowania narzędzi i instrumentów adekwatnych do tej grupy docelowej.</w:t>
      </w:r>
    </w:p>
    <w:p w:rsidR="00EA7C44" w:rsidRDefault="00EA7C44" w:rsidP="003D0559">
      <w:pPr>
        <w:pStyle w:val="Default"/>
        <w:pBdr>
          <w:bottom w:val="single" w:sz="4" w:space="1" w:color="auto"/>
        </w:pBdr>
        <w:spacing w:line="276" w:lineRule="auto"/>
        <w:jc w:val="both"/>
        <w:rPr>
          <w:rFonts w:ascii="Calibri" w:hAnsi="Calibri" w:cs="Calibri"/>
          <w:b/>
          <w:bCs/>
          <w:sz w:val="22"/>
          <w:szCs w:val="22"/>
        </w:rPr>
      </w:pPr>
    </w:p>
    <w:p w:rsidR="003D0559" w:rsidRDefault="003D0559"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sz w:val="22"/>
          <w:szCs w:val="22"/>
        </w:rPr>
      </w:pPr>
      <w:r>
        <w:rPr>
          <w:rFonts w:ascii="Calibri" w:hAnsi="Calibri" w:cs="Calibri"/>
          <w:b/>
          <w:bCs/>
          <w:sz w:val="22"/>
          <w:szCs w:val="22"/>
        </w:rPr>
        <w:t xml:space="preserve">Czy zarządzanie ryzykiem występuje tylko w projektach powyżej 2 mln zł? </w:t>
      </w:r>
    </w:p>
    <w:p w:rsidR="00EA7C44" w:rsidRDefault="00EA7C44" w:rsidP="00FD32DC">
      <w:pPr>
        <w:pStyle w:val="Default"/>
        <w:spacing w:line="276" w:lineRule="auto"/>
        <w:jc w:val="both"/>
        <w:rPr>
          <w:sz w:val="22"/>
          <w:szCs w:val="22"/>
        </w:rPr>
      </w:pPr>
    </w:p>
    <w:p w:rsidR="00EA7C44" w:rsidRDefault="00EA7C44" w:rsidP="00FD32DC">
      <w:pPr>
        <w:pStyle w:val="Default"/>
        <w:spacing w:line="276" w:lineRule="auto"/>
        <w:jc w:val="both"/>
        <w:rPr>
          <w:rFonts w:ascii="Calibri" w:hAnsi="Calibri" w:cs="Calibri"/>
          <w:i/>
          <w:iCs/>
          <w:sz w:val="22"/>
          <w:szCs w:val="22"/>
        </w:rPr>
      </w:pPr>
      <w:r>
        <w:rPr>
          <w:rFonts w:ascii="Calibri" w:hAnsi="Calibri" w:cs="Calibri"/>
          <w:i/>
          <w:iCs/>
          <w:sz w:val="22"/>
          <w:szCs w:val="22"/>
        </w:rPr>
        <w:t xml:space="preserve">Tak, ryzyko jest opisywane wyłącznie w projektach, w których wnioskowana kwota dofinasowania jest równa albo przekracza 2 mln (konieczność wypełnienia pola 3.3 wniosku). </w:t>
      </w:r>
    </w:p>
    <w:p w:rsidR="00EA7C44" w:rsidRDefault="00EA7C44" w:rsidP="003D0559">
      <w:pPr>
        <w:pStyle w:val="Default"/>
        <w:pBdr>
          <w:bottom w:val="single" w:sz="4" w:space="1" w:color="auto"/>
        </w:pBdr>
        <w:spacing w:line="276" w:lineRule="auto"/>
        <w:jc w:val="both"/>
        <w:rPr>
          <w:rFonts w:ascii="Calibri" w:hAnsi="Calibri" w:cs="Calibri"/>
          <w:sz w:val="22"/>
          <w:szCs w:val="22"/>
        </w:rPr>
      </w:pPr>
    </w:p>
    <w:p w:rsidR="003D0559" w:rsidRDefault="003D0559" w:rsidP="00FD32DC">
      <w:pPr>
        <w:pStyle w:val="Default"/>
        <w:spacing w:line="276" w:lineRule="auto"/>
        <w:jc w:val="both"/>
        <w:rPr>
          <w:rFonts w:ascii="Calibri" w:hAnsi="Calibri" w:cs="Calibri"/>
          <w:b/>
          <w:bCs/>
          <w:sz w:val="22"/>
          <w:szCs w:val="22"/>
        </w:rPr>
      </w:pPr>
    </w:p>
    <w:p w:rsidR="0098222B" w:rsidRDefault="0098222B" w:rsidP="00FD32DC">
      <w:pPr>
        <w:pStyle w:val="Default"/>
        <w:spacing w:line="276" w:lineRule="auto"/>
        <w:jc w:val="both"/>
        <w:rPr>
          <w:rFonts w:ascii="Calibri" w:hAnsi="Calibri" w:cs="Calibri"/>
          <w:b/>
          <w:bCs/>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b/>
          <w:bCs/>
          <w:sz w:val="22"/>
          <w:szCs w:val="22"/>
        </w:rPr>
        <w:t xml:space="preserve">Czy jeżeli projekt nie uzyska min. 60 pkt. jest możliwość odwołania? </w:t>
      </w:r>
    </w:p>
    <w:p w:rsidR="00EA7C44" w:rsidRDefault="00EA7C44" w:rsidP="00FD32DC">
      <w:pPr>
        <w:pStyle w:val="Default"/>
        <w:spacing w:line="276" w:lineRule="auto"/>
        <w:jc w:val="both"/>
        <w:rPr>
          <w:rFonts w:ascii="Calibri" w:hAnsi="Calibri" w:cs="Calibri"/>
          <w:sz w:val="22"/>
          <w:szCs w:val="22"/>
        </w:rPr>
      </w:pP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Środkiem odwoławczym, zgodnie z Ustawą z dnia 11 lipca 2014 roku o zasadach realizacji programów w zakresie polityki spójności finansowanych w perspektywie finansowej 2014-2020 (Dz. U. z 2014r., poz. 1146 ze zm</w:t>
      </w:r>
      <w:r w:rsidRPr="00A26DC7">
        <w:rPr>
          <w:rFonts w:ascii="Calibri" w:hAnsi="Calibri" w:cs="Calibri"/>
          <w:i/>
          <w:iCs/>
          <w:sz w:val="22"/>
          <w:szCs w:val="22"/>
        </w:rPr>
        <w:t xml:space="preserve">.), </w:t>
      </w:r>
      <w:r w:rsidRPr="00A26DC7">
        <w:rPr>
          <w:rFonts w:ascii="Calibri" w:hAnsi="Calibri" w:cs="Calibri"/>
          <w:bCs/>
          <w:i/>
          <w:iCs/>
          <w:sz w:val="22"/>
          <w:szCs w:val="22"/>
        </w:rPr>
        <w:t>jest protest</w:t>
      </w:r>
      <w:r>
        <w:rPr>
          <w:rFonts w:ascii="Calibri" w:hAnsi="Calibri" w:cs="Calibri"/>
          <w:i/>
          <w:iCs/>
          <w:sz w:val="22"/>
          <w:szCs w:val="22"/>
        </w:rPr>
        <w:t xml:space="preserve">. </w:t>
      </w:r>
    </w:p>
    <w:p w:rsidR="00EA7C44" w:rsidRDefault="00EA7C44" w:rsidP="00FD32DC">
      <w:pPr>
        <w:pStyle w:val="Default"/>
        <w:spacing w:line="276" w:lineRule="auto"/>
        <w:jc w:val="both"/>
        <w:rPr>
          <w:rFonts w:ascii="Calibri" w:hAnsi="Calibri" w:cs="Calibri"/>
          <w:sz w:val="22"/>
          <w:szCs w:val="22"/>
        </w:rPr>
      </w:pPr>
      <w:r>
        <w:rPr>
          <w:rFonts w:ascii="Calibri" w:hAnsi="Calibri" w:cs="Calibri"/>
          <w:i/>
          <w:iCs/>
          <w:sz w:val="22"/>
          <w:szCs w:val="22"/>
        </w:rPr>
        <w:t xml:space="preserve">Prawo złożenia protestu przysługuje wnioskodawcy, którego wniosek uzyskał negatywna ocenę w zakresie oceny spełnienia przez projekt kryteriów wyboru projektu (min. w wyniku nieuzyskania 60 pkt.). </w:t>
      </w:r>
    </w:p>
    <w:p w:rsidR="00901746" w:rsidRPr="006D109B" w:rsidRDefault="002F5010" w:rsidP="00171942">
      <w:pPr>
        <w:pStyle w:val="Default"/>
        <w:spacing w:line="276" w:lineRule="auto"/>
        <w:jc w:val="both"/>
        <w:rPr>
          <w:sz w:val="20"/>
          <w:szCs w:val="20"/>
        </w:rPr>
      </w:pPr>
      <w:r>
        <w:rPr>
          <w:rFonts w:ascii="Calibri" w:hAnsi="Calibri" w:cs="Calibri"/>
          <w:i/>
          <w:iCs/>
          <w:sz w:val="22"/>
          <w:szCs w:val="22"/>
        </w:rPr>
        <w:t>Z</w:t>
      </w:r>
      <w:r w:rsidR="00EA7C44">
        <w:rPr>
          <w:rFonts w:ascii="Calibri" w:hAnsi="Calibri" w:cs="Calibri"/>
          <w:i/>
          <w:iCs/>
          <w:sz w:val="22"/>
          <w:szCs w:val="22"/>
        </w:rPr>
        <w:t xml:space="preserve"> nieuwzględnienia protestu, negatywnej ponownej oceny projektu lub pozostawienia protestu bez rozpatrzenia Wnioskodawca może </w:t>
      </w:r>
      <w:r w:rsidR="00E44424">
        <w:rPr>
          <w:rFonts w:ascii="Calibri" w:hAnsi="Calibri" w:cs="Calibri"/>
          <w:i/>
          <w:iCs/>
          <w:sz w:val="22"/>
          <w:szCs w:val="22"/>
        </w:rPr>
        <w:t>wnieść skargę do sądu admin</w:t>
      </w:r>
      <w:r>
        <w:rPr>
          <w:rFonts w:ascii="Calibri" w:hAnsi="Calibri" w:cs="Calibri"/>
          <w:i/>
          <w:iCs/>
          <w:sz w:val="22"/>
          <w:szCs w:val="22"/>
        </w:rPr>
        <w:t>istracyjnego.</w:t>
      </w:r>
    </w:p>
    <w:sectPr w:rsidR="00901746" w:rsidRPr="006D109B" w:rsidSect="00CE6664">
      <w:headerReference w:type="default" r:id="rId10"/>
      <w:footerReference w:type="default" r:id="rId11"/>
      <w:pgSz w:w="11906" w:h="16838"/>
      <w:pgMar w:top="1531" w:right="2041" w:bottom="2155" w:left="130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C1" w:rsidRDefault="00B279C1" w:rsidP="00D01A90">
      <w:pPr>
        <w:spacing w:line="240" w:lineRule="auto"/>
      </w:pPr>
      <w:r>
        <w:separator/>
      </w:r>
    </w:p>
  </w:endnote>
  <w:endnote w:type="continuationSeparator" w:id="0">
    <w:p w:rsidR="00B279C1" w:rsidRDefault="00B279C1" w:rsidP="00D01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D1" w:rsidRDefault="00C508D1" w:rsidP="00D01A90">
    <w:pPr>
      <w:pStyle w:val="Stopk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C1" w:rsidRDefault="00B279C1" w:rsidP="00D01A90">
      <w:pPr>
        <w:spacing w:line="240" w:lineRule="auto"/>
      </w:pPr>
      <w:r>
        <w:separator/>
      </w:r>
    </w:p>
  </w:footnote>
  <w:footnote w:type="continuationSeparator" w:id="0">
    <w:p w:rsidR="00B279C1" w:rsidRDefault="00B279C1" w:rsidP="00D01A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D1" w:rsidRDefault="00C508D1" w:rsidP="006D7C48">
    <w:pPr>
      <w:pStyle w:val="Nagwek"/>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018E"/>
    <w:multiLevelType w:val="hybridMultilevel"/>
    <w:tmpl w:val="4C7EF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0F0D92"/>
    <w:multiLevelType w:val="hybridMultilevel"/>
    <w:tmpl w:val="2A3ED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0C"/>
    <w:rsid w:val="0001359D"/>
    <w:rsid w:val="00043F1F"/>
    <w:rsid w:val="00051845"/>
    <w:rsid w:val="000552A5"/>
    <w:rsid w:val="000574F9"/>
    <w:rsid w:val="000634D8"/>
    <w:rsid w:val="000828E9"/>
    <w:rsid w:val="000B4975"/>
    <w:rsid w:val="000C331A"/>
    <w:rsid w:val="000E34FF"/>
    <w:rsid w:val="000F5697"/>
    <w:rsid w:val="0011004D"/>
    <w:rsid w:val="00116225"/>
    <w:rsid w:val="00116284"/>
    <w:rsid w:val="00116EE9"/>
    <w:rsid w:val="001234BD"/>
    <w:rsid w:val="00125968"/>
    <w:rsid w:val="0013408A"/>
    <w:rsid w:val="00155FB1"/>
    <w:rsid w:val="00170469"/>
    <w:rsid w:val="00171942"/>
    <w:rsid w:val="001721D7"/>
    <w:rsid w:val="001A1CF6"/>
    <w:rsid w:val="001B0DD2"/>
    <w:rsid w:val="001D5E78"/>
    <w:rsid w:val="001E0F17"/>
    <w:rsid w:val="001F1299"/>
    <w:rsid w:val="001F1E84"/>
    <w:rsid w:val="001F7B05"/>
    <w:rsid w:val="00200857"/>
    <w:rsid w:val="00206B0F"/>
    <w:rsid w:val="00232319"/>
    <w:rsid w:val="002419FA"/>
    <w:rsid w:val="0024730C"/>
    <w:rsid w:val="00290949"/>
    <w:rsid w:val="00294236"/>
    <w:rsid w:val="0029764C"/>
    <w:rsid w:val="002A3E56"/>
    <w:rsid w:val="002D50C2"/>
    <w:rsid w:val="002F5010"/>
    <w:rsid w:val="00306239"/>
    <w:rsid w:val="0031175A"/>
    <w:rsid w:val="00343519"/>
    <w:rsid w:val="00363500"/>
    <w:rsid w:val="00367443"/>
    <w:rsid w:val="003674E4"/>
    <w:rsid w:val="003773D6"/>
    <w:rsid w:val="0038051B"/>
    <w:rsid w:val="0038492A"/>
    <w:rsid w:val="00384DE3"/>
    <w:rsid w:val="00393C62"/>
    <w:rsid w:val="003B0084"/>
    <w:rsid w:val="003B20E4"/>
    <w:rsid w:val="003B76A6"/>
    <w:rsid w:val="003C303C"/>
    <w:rsid w:val="003D0559"/>
    <w:rsid w:val="003D42DF"/>
    <w:rsid w:val="003E6229"/>
    <w:rsid w:val="003F69E5"/>
    <w:rsid w:val="0041030B"/>
    <w:rsid w:val="00452DDB"/>
    <w:rsid w:val="004551AF"/>
    <w:rsid w:val="00484943"/>
    <w:rsid w:val="004B6334"/>
    <w:rsid w:val="004D7469"/>
    <w:rsid w:val="004F7663"/>
    <w:rsid w:val="00513E12"/>
    <w:rsid w:val="00525CA9"/>
    <w:rsid w:val="00531DAC"/>
    <w:rsid w:val="00553AA2"/>
    <w:rsid w:val="005A1238"/>
    <w:rsid w:val="005A578E"/>
    <w:rsid w:val="005C629D"/>
    <w:rsid w:val="005D2C1D"/>
    <w:rsid w:val="00610047"/>
    <w:rsid w:val="00636A1C"/>
    <w:rsid w:val="00642914"/>
    <w:rsid w:val="00666ACF"/>
    <w:rsid w:val="00676229"/>
    <w:rsid w:val="006816F4"/>
    <w:rsid w:val="00683ACB"/>
    <w:rsid w:val="00686822"/>
    <w:rsid w:val="00691C01"/>
    <w:rsid w:val="00691C6F"/>
    <w:rsid w:val="00695083"/>
    <w:rsid w:val="006977F6"/>
    <w:rsid w:val="006A0F6B"/>
    <w:rsid w:val="006D7C48"/>
    <w:rsid w:val="00724286"/>
    <w:rsid w:val="00775F0D"/>
    <w:rsid w:val="007A2DAA"/>
    <w:rsid w:val="007C4D91"/>
    <w:rsid w:val="007E3B71"/>
    <w:rsid w:val="007F32C7"/>
    <w:rsid w:val="00803247"/>
    <w:rsid w:val="00806AC0"/>
    <w:rsid w:val="00806EA2"/>
    <w:rsid w:val="0081395D"/>
    <w:rsid w:val="00813BB4"/>
    <w:rsid w:val="00815905"/>
    <w:rsid w:val="00825E97"/>
    <w:rsid w:val="008264DD"/>
    <w:rsid w:val="0084517E"/>
    <w:rsid w:val="008510CE"/>
    <w:rsid w:val="008C5AEC"/>
    <w:rsid w:val="008D1292"/>
    <w:rsid w:val="008F2B3E"/>
    <w:rsid w:val="00901746"/>
    <w:rsid w:val="009041FC"/>
    <w:rsid w:val="009200EF"/>
    <w:rsid w:val="00931985"/>
    <w:rsid w:val="00956775"/>
    <w:rsid w:val="00974BB2"/>
    <w:rsid w:val="00975FCE"/>
    <w:rsid w:val="00981D0A"/>
    <w:rsid w:val="0098222B"/>
    <w:rsid w:val="00985453"/>
    <w:rsid w:val="009B49E3"/>
    <w:rsid w:val="009D27A4"/>
    <w:rsid w:val="009D7FE1"/>
    <w:rsid w:val="009E559B"/>
    <w:rsid w:val="00A076F7"/>
    <w:rsid w:val="00A264D0"/>
    <w:rsid w:val="00A42BAE"/>
    <w:rsid w:val="00A517E9"/>
    <w:rsid w:val="00A61F2F"/>
    <w:rsid w:val="00A828F3"/>
    <w:rsid w:val="00A86CF9"/>
    <w:rsid w:val="00A92984"/>
    <w:rsid w:val="00A974C4"/>
    <w:rsid w:val="00AE26B5"/>
    <w:rsid w:val="00B140A3"/>
    <w:rsid w:val="00B250CA"/>
    <w:rsid w:val="00B279C1"/>
    <w:rsid w:val="00B81AC7"/>
    <w:rsid w:val="00B85077"/>
    <w:rsid w:val="00B95DD3"/>
    <w:rsid w:val="00BB1358"/>
    <w:rsid w:val="00BB72C2"/>
    <w:rsid w:val="00BE6EDA"/>
    <w:rsid w:val="00C34326"/>
    <w:rsid w:val="00C34D9F"/>
    <w:rsid w:val="00C508D1"/>
    <w:rsid w:val="00C8592E"/>
    <w:rsid w:val="00CB5D68"/>
    <w:rsid w:val="00CB74B7"/>
    <w:rsid w:val="00CC021C"/>
    <w:rsid w:val="00CC460F"/>
    <w:rsid w:val="00CD2062"/>
    <w:rsid w:val="00CE6664"/>
    <w:rsid w:val="00D01A90"/>
    <w:rsid w:val="00D27E32"/>
    <w:rsid w:val="00D33077"/>
    <w:rsid w:val="00D3482F"/>
    <w:rsid w:val="00D736D6"/>
    <w:rsid w:val="00DB23E7"/>
    <w:rsid w:val="00DE3F0C"/>
    <w:rsid w:val="00E00CF3"/>
    <w:rsid w:val="00E116FC"/>
    <w:rsid w:val="00E142D8"/>
    <w:rsid w:val="00E17F6F"/>
    <w:rsid w:val="00E44424"/>
    <w:rsid w:val="00EA7C44"/>
    <w:rsid w:val="00EB3103"/>
    <w:rsid w:val="00EB523A"/>
    <w:rsid w:val="00EC1249"/>
    <w:rsid w:val="00ED3398"/>
    <w:rsid w:val="00ED3C45"/>
    <w:rsid w:val="00EE59E6"/>
    <w:rsid w:val="00F05748"/>
    <w:rsid w:val="00F12B56"/>
    <w:rsid w:val="00F335E3"/>
    <w:rsid w:val="00F426DA"/>
    <w:rsid w:val="00F455F2"/>
    <w:rsid w:val="00F63681"/>
    <w:rsid w:val="00F70C8B"/>
    <w:rsid w:val="00F769BA"/>
    <w:rsid w:val="00F90466"/>
    <w:rsid w:val="00F90905"/>
    <w:rsid w:val="00FC1082"/>
    <w:rsid w:val="00FC74CA"/>
    <w:rsid w:val="00FD32DC"/>
    <w:rsid w:val="00FE10A5"/>
    <w:rsid w:val="00FF5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DCD6910-2A04-422C-9ACC-3384606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6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1175A"/>
    <w:pPr>
      <w:spacing w:after="120" w:line="240" w:lineRule="auto"/>
      <w:ind w:firstLine="0"/>
      <w:jc w:val="left"/>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1175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01A90"/>
    <w:pPr>
      <w:ind w:left="720"/>
      <w:contextualSpacing/>
    </w:pPr>
  </w:style>
  <w:style w:type="paragraph" w:styleId="Nagwek">
    <w:name w:val="header"/>
    <w:aliases w:val=" Znak"/>
    <w:basedOn w:val="Normalny"/>
    <w:link w:val="NagwekZnak"/>
    <w:unhideWhenUsed/>
    <w:rsid w:val="00D01A90"/>
    <w:pPr>
      <w:tabs>
        <w:tab w:val="center" w:pos="4536"/>
        <w:tab w:val="right" w:pos="9072"/>
      </w:tabs>
      <w:spacing w:line="240" w:lineRule="auto"/>
    </w:pPr>
  </w:style>
  <w:style w:type="character" w:customStyle="1" w:styleId="NagwekZnak">
    <w:name w:val="Nagłówek Znak"/>
    <w:aliases w:val=" Znak Znak"/>
    <w:basedOn w:val="Domylnaczcionkaakapitu"/>
    <w:link w:val="Nagwek"/>
    <w:rsid w:val="00D01A90"/>
  </w:style>
  <w:style w:type="paragraph" w:styleId="Stopka">
    <w:name w:val="footer"/>
    <w:basedOn w:val="Normalny"/>
    <w:link w:val="StopkaZnak"/>
    <w:unhideWhenUsed/>
    <w:rsid w:val="00D01A90"/>
    <w:pPr>
      <w:tabs>
        <w:tab w:val="center" w:pos="4536"/>
        <w:tab w:val="right" w:pos="9072"/>
      </w:tabs>
      <w:spacing w:line="240" w:lineRule="auto"/>
    </w:pPr>
  </w:style>
  <w:style w:type="character" w:customStyle="1" w:styleId="StopkaZnak">
    <w:name w:val="Stopka Znak"/>
    <w:basedOn w:val="Domylnaczcionkaakapitu"/>
    <w:link w:val="Stopka"/>
    <w:rsid w:val="00D01A90"/>
  </w:style>
  <w:style w:type="character" w:styleId="Pogrubienie">
    <w:name w:val="Strong"/>
    <w:basedOn w:val="Domylnaczcionkaakapitu"/>
    <w:uiPriority w:val="22"/>
    <w:qFormat/>
    <w:rsid w:val="00B140A3"/>
    <w:rPr>
      <w:b/>
    </w:rPr>
  </w:style>
  <w:style w:type="character" w:styleId="Hipercze">
    <w:name w:val="Hyperlink"/>
    <w:basedOn w:val="Domylnaczcionkaakapitu"/>
    <w:uiPriority w:val="99"/>
    <w:unhideWhenUsed/>
    <w:rsid w:val="00F70C8B"/>
    <w:rPr>
      <w:color w:val="0000FF" w:themeColor="hyperlink"/>
      <w:u w:val="single"/>
    </w:rPr>
  </w:style>
  <w:style w:type="paragraph" w:styleId="Tekstdymka">
    <w:name w:val="Balloon Text"/>
    <w:basedOn w:val="Normalny"/>
    <w:link w:val="TekstdymkaZnak"/>
    <w:uiPriority w:val="99"/>
    <w:semiHidden/>
    <w:unhideWhenUsed/>
    <w:rsid w:val="001721D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1D7"/>
    <w:rPr>
      <w:rFonts w:ascii="Segoe UI" w:hAnsi="Segoe UI" w:cs="Segoe UI"/>
      <w:sz w:val="18"/>
      <w:szCs w:val="18"/>
    </w:rPr>
  </w:style>
  <w:style w:type="paragraph" w:customStyle="1" w:styleId="Default">
    <w:name w:val="Default"/>
    <w:rsid w:val="00EA7C44"/>
    <w:pPr>
      <w:autoSpaceDE w:val="0"/>
      <w:autoSpaceDN w:val="0"/>
      <w:adjustRightInd w:val="0"/>
      <w:spacing w:line="240" w:lineRule="auto"/>
      <w:ind w:firstLine="0"/>
      <w:jc w:val="left"/>
    </w:pPr>
    <w:rPr>
      <w:rFonts w:ascii="Arial" w:hAnsi="Arial" w:cs="Arial"/>
      <w:color w:val="000000"/>
      <w:sz w:val="24"/>
      <w:szCs w:val="24"/>
    </w:rPr>
  </w:style>
  <w:style w:type="paragraph" w:styleId="Cytatintensywny">
    <w:name w:val="Intense Quote"/>
    <w:basedOn w:val="Normalny"/>
    <w:next w:val="Normalny"/>
    <w:link w:val="CytatintensywnyZnak"/>
    <w:uiPriority w:val="30"/>
    <w:qFormat/>
    <w:rsid w:val="00EA7C44"/>
    <w:pPr>
      <w:pBdr>
        <w:top w:val="single" w:sz="4" w:space="10" w:color="4F81BD" w:themeColor="accent1"/>
        <w:bottom w:val="single" w:sz="4" w:space="10" w:color="4F81BD" w:themeColor="accent1"/>
      </w:pBdr>
      <w:spacing w:before="360" w:after="360" w:line="259" w:lineRule="auto"/>
      <w:ind w:left="864" w:right="864" w:firstLine="0"/>
      <w:jc w:val="center"/>
    </w:pPr>
    <w:rPr>
      <w:i/>
      <w:iCs/>
      <w:color w:val="4F81BD" w:themeColor="accent1"/>
    </w:rPr>
  </w:style>
  <w:style w:type="character" w:customStyle="1" w:styleId="CytatintensywnyZnak">
    <w:name w:val="Cytat intensywny Znak"/>
    <w:basedOn w:val="Domylnaczcionkaakapitu"/>
    <w:link w:val="Cytatintensywny"/>
    <w:uiPriority w:val="30"/>
    <w:rsid w:val="00EA7C44"/>
    <w:rPr>
      <w:i/>
      <w:iCs/>
      <w:color w:val="4F81BD" w:themeColor="accent1"/>
    </w:rPr>
  </w:style>
  <w:style w:type="character" w:styleId="Wyrnienieintensywne">
    <w:name w:val="Intense Emphasis"/>
    <w:basedOn w:val="Domylnaczcionkaakapitu"/>
    <w:uiPriority w:val="21"/>
    <w:qFormat/>
    <w:rsid w:val="00EA7C44"/>
    <w:rPr>
      <w:i/>
      <w:iCs/>
      <w:color w:val="4F81BD" w:themeColor="accent1"/>
    </w:rPr>
  </w:style>
  <w:style w:type="paragraph" w:styleId="NormalnyWeb">
    <w:name w:val="Normal (Web)"/>
    <w:basedOn w:val="Normalny"/>
    <w:uiPriority w:val="99"/>
    <w:semiHidden/>
    <w:unhideWhenUsed/>
    <w:rsid w:val="00EA7C44"/>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A7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761834">
      <w:bodyDiv w:val="1"/>
      <w:marLeft w:val="0"/>
      <w:marRight w:val="0"/>
      <w:marTop w:val="0"/>
      <w:marBottom w:val="0"/>
      <w:divBdr>
        <w:top w:val="none" w:sz="0" w:space="0" w:color="auto"/>
        <w:left w:val="none" w:sz="0" w:space="0" w:color="auto"/>
        <w:bottom w:val="none" w:sz="0" w:space="0" w:color="auto"/>
        <w:right w:val="none" w:sz="0" w:space="0" w:color="auto"/>
      </w:divBdr>
    </w:div>
    <w:div w:id="1612860705">
      <w:bodyDiv w:val="1"/>
      <w:marLeft w:val="0"/>
      <w:marRight w:val="0"/>
      <w:marTop w:val="0"/>
      <w:marBottom w:val="0"/>
      <w:divBdr>
        <w:top w:val="none" w:sz="0" w:space="0" w:color="auto"/>
        <w:left w:val="none" w:sz="0" w:space="0" w:color="auto"/>
        <w:bottom w:val="none" w:sz="0" w:space="0" w:color="auto"/>
        <w:right w:val="none" w:sz="0" w:space="0" w:color="auto"/>
      </w:divBdr>
    </w:div>
    <w:div w:id="17190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38751-1DDF-40EB-AE63-0256E34D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2937</Words>
  <Characters>17628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Krycki Wojciech</dc:creator>
  <cp:keywords/>
  <dc:description/>
  <cp:lastModifiedBy>Popko Kaja</cp:lastModifiedBy>
  <cp:revision>6</cp:revision>
  <cp:lastPrinted>2015-08-20T09:32:00Z</cp:lastPrinted>
  <dcterms:created xsi:type="dcterms:W3CDTF">2015-08-20T09:30:00Z</dcterms:created>
  <dcterms:modified xsi:type="dcterms:W3CDTF">2015-08-21T11:21:00Z</dcterms:modified>
</cp:coreProperties>
</file>